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Heading1"/>
        <w:ind w:right="3"/>
        <w:kinsoku w:val="off"/>
        <w:overflowPunct w:val="off"/>
        <w:jc w:val="center"/>
        <w:spacing w:line="276" w:lineRule="auto"/>
        <w:rPr>
          <w:lang w:val="en-US"/>
          <w:b w:val="0"/>
          <w:bCs w:val="0"/>
        </w:rPr>
      </w:pPr>
      <w:r>
        <w:rPr>
          <w:lang w:val="en-US"/>
          <w:spacing w:val="-2"/>
        </w:rPr>
        <w:t>INTERNATIONAL</w:t>
      </w:r>
      <w:r>
        <w:rPr>
          <w:lang w:val="en-US"/>
          <w:spacing w:val="-1"/>
        </w:rPr>
        <w:t xml:space="preserve"> </w:t>
      </w:r>
      <w:r>
        <w:rPr>
          <w:lang w:val="en-US"/>
          <w:spacing w:val="-2"/>
        </w:rPr>
        <w:t>BARGAINING</w:t>
      </w:r>
      <w:r>
        <w:rPr>
          <w:lang w:val="en-US"/>
          <w:spacing w:val="1"/>
        </w:rPr>
        <w:t xml:space="preserve"> </w:t>
      </w:r>
      <w:r>
        <w:rPr>
          <w:lang w:val="en-US"/>
          <w:spacing w:val="-2"/>
        </w:rPr>
        <w:t>FORUM</w:t>
      </w:r>
    </w:p>
    <w:p>
      <w:pPr>
        <w:pStyle w:val="BodyText"/>
        <w:ind w:left="0"/>
        <w:kinsoku w:val="off"/>
        <w:overflowPunct w:val="off"/>
        <w:jc w:val="center"/>
        <w:spacing w:line="276" w:lineRule="auto"/>
        <w:rPr>
          <w:lang w:val="en-US"/>
          <w:b/>
          <w:bCs/>
          <w:sz w:val="23"/>
          <w:szCs w:val="23"/>
        </w:rPr>
      </w:pPr>
    </w:p>
    <w:p>
      <w:pPr>
        <w:pStyle w:val="BodyText"/>
        <w:ind w:left="0"/>
        <w:kinsoku w:val="off"/>
        <w:overflowPunct w:val="off"/>
        <w:jc w:val="center"/>
        <w:spacing w:line="276" w:lineRule="auto"/>
        <w:rPr>
          <w:lang w:val="en-US"/>
          <w:sz w:val="28"/>
          <w:szCs w:val="28"/>
        </w:rPr>
      </w:pPr>
      <w:r>
        <w:rPr>
          <w:lang w:val="en-US"/>
          <w:b/>
          <w:bCs/>
          <w:sz w:val="28"/>
          <w:szCs w:val="28"/>
        </w:rPr>
        <w:t>202</w:t>
      </w:r>
      <w:r>
        <w:rPr>
          <w:lang w:val="en-US"/>
          <w:b/>
          <w:bCs/>
          <w:sz w:val="28"/>
          <w:szCs w:val="28"/>
        </w:rPr>
        <w:t>3</w:t>
      </w:r>
      <w:r>
        <w:rPr>
          <w:lang w:val="en-US"/>
          <w:b/>
          <w:bCs/>
          <w:sz w:val="28"/>
          <w:szCs w:val="28"/>
        </w:rPr>
        <w:t xml:space="preserve"> </w:t>
      </w:r>
      <w:r>
        <w:rPr>
          <w:lang w:val="en-US"/>
          <w:b/>
          <w:bCs/>
          <w:sz w:val="28"/>
          <w:szCs w:val="28"/>
          <w:spacing w:val="-1"/>
        </w:rPr>
        <w:t>Operational Agreement</w:t>
      </w:r>
    </w:p>
    <w:p>
      <w:pPr>
        <w:pStyle w:val="BodyText"/>
        <w:ind w:left="0"/>
        <w:kinsoku w:val="off"/>
        <w:overflowPunct w:val="off"/>
        <w:spacing w:line="276" w:lineRule="auto"/>
        <w:rPr>
          <w:lang w:val="en-US"/>
          <w:b/>
          <w:bCs/>
          <w:sz w:val="28"/>
          <w:szCs w:val="28"/>
        </w:rPr>
      </w:pPr>
    </w:p>
    <w:p>
      <w:pPr>
        <w:pStyle w:val="BodyText"/>
        <w:ind w:left="0" w:right="273"/>
        <w:kinsoku w:val="off"/>
        <w:overflowPunct w:val="off"/>
        <w:spacing w:line="276" w:lineRule="auto"/>
        <w:rPr>
          <w:lang w:val="en-US"/>
          <w:spacing w:val="-1"/>
        </w:rPr>
      </w:pPr>
      <w:r>
        <w:rPr>
          <w:lang w:val="en-US"/>
        </w:rPr>
        <w:t>On</w:t>
      </w:r>
      <w:r>
        <w:rPr>
          <w:lang w:val="en-US"/>
          <w:spacing w:val="1"/>
        </w:rPr>
        <w:t xml:space="preserve"> </w:t>
      </w:r>
      <w:r>
        <w:rPr>
          <w:lang w:val="en-US"/>
          <w:spacing w:val="-1"/>
        </w:rPr>
        <w:t>conclusion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of</w:t>
      </w:r>
      <w:r>
        <w:rPr>
          <w:lang w:val="en-US"/>
          <w:spacing w:val="2"/>
        </w:rPr>
        <w:t xml:space="preserve"> </w:t>
      </w:r>
      <w:r>
        <w:rPr>
          <w:lang w:val="en-US"/>
          <w:spacing w:val="-1"/>
        </w:rPr>
        <w:t>the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meeting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of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the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International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Bargaining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Forum</w:t>
      </w:r>
      <w:r>
        <w:rPr>
          <w:lang w:val="en-US"/>
          <w:spacing w:val="1"/>
        </w:rPr>
        <w:t xml:space="preserve"> </w:t>
      </w:r>
      <w:r>
        <w:rPr>
          <w:lang w:val="en-US"/>
          <w:spacing w:val="-1"/>
        </w:rPr>
        <w:t xml:space="preserve">(IBF) </w:t>
      </w:r>
      <w:r>
        <w:rPr>
          <w:lang w:val="en-US"/>
        </w:rPr>
        <w:t>held</w:t>
      </w:r>
      <w:r>
        <w:rPr>
          <w:lang w:val="en-US"/>
          <w:spacing w:val="-2"/>
        </w:rPr>
        <w:t xml:space="preserve"> </w:t>
      </w:r>
      <w:r>
        <w:rPr>
          <w:lang w:val="en-US"/>
        </w:rPr>
        <w:t xml:space="preserve">on 20-21 September 2023 in Berlin </w:t>
      </w:r>
      <w:r>
        <w:rPr>
          <w:lang w:val="en-US"/>
          <w:rFonts w:eastAsia="Arial Unicode MS"/>
          <w:spacing w:val="-1"/>
        </w:rPr>
        <w:t>the</w:t>
      </w:r>
      <w:r>
        <w:rPr>
          <w:lang w:val="en-US"/>
          <w:rFonts w:eastAsia="Arial Unicode MS"/>
        </w:rPr>
        <w:t xml:space="preserve"> </w:t>
      </w:r>
      <w:r>
        <w:rPr>
          <w:lang w:val="en-US"/>
          <w:rFonts w:eastAsia="Arial Unicode MS"/>
          <w:spacing w:val="-1"/>
        </w:rPr>
        <w:t>representatives</w:t>
      </w:r>
      <w:r>
        <w:rPr>
          <w:lang w:val="en-US"/>
          <w:rFonts w:eastAsia="Arial Unicode MS"/>
        </w:rPr>
        <w:t xml:space="preserve"> </w:t>
      </w:r>
      <w:r>
        <w:rPr>
          <w:lang w:val="en-US"/>
          <w:rFonts w:eastAsia="Arial Unicode MS"/>
          <w:spacing w:val="-1"/>
        </w:rPr>
        <w:t>of</w:t>
      </w:r>
      <w:r>
        <w:rPr>
          <w:lang w:val="en-US"/>
          <w:rFonts w:eastAsia="Arial Unicode MS"/>
        </w:rPr>
        <w:t xml:space="preserve"> the</w:t>
      </w:r>
      <w:r>
        <w:rPr>
          <w:lang w:val="en-US"/>
          <w:rFonts w:eastAsia="Arial Unicode MS"/>
          <w:spacing w:val="-2"/>
        </w:rPr>
        <w:t xml:space="preserve"> </w:t>
      </w:r>
      <w:r>
        <w:rPr>
          <w:lang w:val="en-US"/>
          <w:rFonts w:eastAsia="Arial Unicode MS"/>
        </w:rPr>
        <w:t>Joint</w:t>
      </w:r>
      <w:r>
        <w:rPr>
          <w:lang w:val="en-US"/>
          <w:rFonts w:eastAsia="Arial Unicode MS"/>
          <w:spacing w:val="-2"/>
        </w:rPr>
        <w:t xml:space="preserve"> </w:t>
      </w:r>
      <w:r>
        <w:rPr>
          <w:lang w:val="en-US"/>
          <w:rFonts w:eastAsia="Arial Unicode MS"/>
          <w:spacing w:val="-1"/>
        </w:rPr>
        <w:t>Negotiating</w:t>
      </w:r>
      <w:r>
        <w:rPr>
          <w:lang w:val="en-US"/>
          <w:rFonts w:eastAsia="Arial Unicode MS"/>
          <w:spacing w:val="-1"/>
        </w:rPr>
        <w:t xml:space="preserve"> </w:t>
      </w:r>
      <w:r>
        <w:rPr>
          <w:lang w:val="en-US"/>
        </w:rPr>
        <w:t>Group</w:t>
      </w:r>
      <w:r>
        <w:rPr>
          <w:lang w:val="en-US"/>
          <w:spacing w:val="-2"/>
        </w:rPr>
        <w:t xml:space="preserve"> </w:t>
      </w:r>
      <w:r>
        <w:rPr>
          <w:lang w:val="en-US"/>
          <w:spacing w:val="-2"/>
        </w:rPr>
        <w:t xml:space="preserve">(JNG) </w:t>
      </w:r>
      <w:r>
        <w:rPr>
          <w:lang w:val="en-US"/>
          <w:spacing w:val="-1"/>
        </w:rPr>
        <w:t>of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maritime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employers</w:t>
      </w:r>
      <w:r>
        <w:rPr>
          <w:lang w:val="en-US"/>
        </w:rPr>
        <w:t xml:space="preserve"> and the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International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Transport</w:t>
      </w:r>
      <w:r>
        <w:rPr>
          <w:lang w:val="en-US"/>
          <w:spacing w:val="-3"/>
        </w:rPr>
        <w:t xml:space="preserve"> </w:t>
      </w:r>
      <w:r>
        <w:rPr>
          <w:lang w:val="en-US"/>
        </w:rPr>
        <w:t>Workers</w:t>
      </w:r>
      <w:r>
        <w:rPr>
          <w:lang w:val="en-US"/>
          <w:spacing w:val="59"/>
        </w:rPr>
        <w:t xml:space="preserve"> </w:t>
      </w:r>
      <w:r>
        <w:rPr>
          <w:lang w:val="en-US"/>
          <w:spacing w:val="-1"/>
        </w:rPr>
        <w:t>Federation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(ITF) resolve</w:t>
      </w:r>
      <w:r>
        <w:rPr>
          <w:lang w:val="en-US"/>
        </w:rPr>
        <w:t xml:space="preserve"> as</w:t>
      </w:r>
      <w:r>
        <w:rPr>
          <w:lang w:val="en-US"/>
          <w:spacing w:val="-5"/>
        </w:rPr>
        <w:t xml:space="preserve"> </w:t>
      </w:r>
      <w:r>
        <w:rPr>
          <w:lang w:val="en-US"/>
          <w:spacing w:val="-1"/>
        </w:rPr>
        <w:t>follows:</w:t>
      </w:r>
    </w:p>
    <w:p>
      <w:pPr>
        <w:pStyle w:val="BodyText"/>
        <w:ind w:left="0"/>
        <w:kinsoku w:val="off"/>
        <w:overflowPunct w:val="off"/>
        <w:spacing w:line="276" w:lineRule="auto"/>
        <w:rPr>
          <w:lang w:val="en-US"/>
        </w:rPr>
      </w:pPr>
    </w:p>
    <w:p>
      <w:pPr>
        <w:pStyle w:val="BodyText"/>
        <w:ind w:left="0" w:right="157"/>
        <w:kinsoku w:val="off"/>
        <w:overflowPunct w:val="off"/>
        <w:spacing w:line="276" w:lineRule="auto"/>
        <w:rPr>
          <w:lang w:val="en-US"/>
          <w:spacing w:val="-1"/>
        </w:rPr>
      </w:pPr>
      <w:r>
        <w:rPr>
          <w:lang w:val="en-US"/>
          <w:spacing w:val="-1"/>
        </w:rPr>
        <w:t>The</w:t>
      </w:r>
      <w:r>
        <w:rPr>
          <w:lang w:val="en-US"/>
        </w:rPr>
        <w:t xml:space="preserve"> IBF</w:t>
      </w:r>
      <w:r>
        <w:rPr>
          <w:lang w:val="en-US"/>
          <w:spacing w:val="-3"/>
        </w:rPr>
        <w:t xml:space="preserve"> </w:t>
      </w:r>
      <w:r>
        <w:rPr>
          <w:lang w:val="en-US"/>
          <w:spacing w:val="-1"/>
        </w:rPr>
        <w:t>Agreement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represents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the</w:t>
      </w:r>
      <w:r>
        <w:rPr>
          <w:lang w:val="en-US"/>
          <w:spacing w:val="-2"/>
        </w:rPr>
        <w:t xml:space="preserve"> </w:t>
      </w:r>
      <w:r>
        <w:rPr>
          <w:lang w:val="en-US"/>
        </w:rPr>
        <w:t>minimum</w:t>
      </w:r>
      <w:r>
        <w:rPr>
          <w:lang w:val="en-US"/>
          <w:spacing w:val="-1"/>
        </w:rPr>
        <w:t xml:space="preserve"> </w:t>
      </w:r>
      <w:r>
        <w:rPr>
          <w:lang w:val="en-US"/>
        </w:rPr>
        <w:t>terms</w:t>
      </w:r>
      <w:r>
        <w:rPr>
          <w:lang w:val="en-US"/>
          <w:spacing w:val="-2"/>
        </w:rPr>
        <w:t xml:space="preserve"> </w:t>
      </w:r>
      <w:r>
        <w:rPr>
          <w:lang w:val="en-US"/>
        </w:rPr>
        <w:t>and</w:t>
      </w:r>
      <w:r>
        <w:rPr>
          <w:lang w:val="en-US"/>
          <w:spacing w:val="-2"/>
        </w:rPr>
        <w:t xml:space="preserve"> </w:t>
      </w:r>
      <w:r>
        <w:rPr>
          <w:lang w:val="en-US"/>
        </w:rPr>
        <w:t>conditions</w:t>
      </w:r>
      <w:r>
        <w:rPr>
          <w:lang w:val="en-US"/>
          <w:spacing w:val="39"/>
        </w:rPr>
        <w:t xml:space="preserve"> </w:t>
      </w:r>
      <w:r>
        <w:rPr>
          <w:lang w:val="en-US"/>
          <w:spacing w:val="-1"/>
        </w:rPr>
        <w:t>agreed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between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the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Parties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and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comprises</w:t>
      </w:r>
      <w:r>
        <w:rPr>
          <w:lang w:val="en-US"/>
          <w:spacing w:val="-3"/>
        </w:rPr>
        <w:t xml:space="preserve"> </w:t>
      </w:r>
      <w:r>
        <w:rPr>
          <w:lang w:val="en-US"/>
          <w:spacing w:val="-1"/>
        </w:rPr>
        <w:t>of</w:t>
      </w:r>
      <w:r>
        <w:rPr>
          <w:lang w:val="en-US"/>
        </w:rPr>
        <w:t xml:space="preserve"> the</w:t>
      </w:r>
      <w:r>
        <w:rPr>
          <w:lang w:val="en-US"/>
          <w:spacing w:val="-4"/>
        </w:rPr>
        <w:t xml:space="preserve"> </w:t>
      </w:r>
      <w:r>
        <w:rPr>
          <w:lang w:val="en-US"/>
          <w:spacing w:val="-1"/>
        </w:rPr>
        <w:t>following Sections:</w:t>
      </w:r>
    </w:p>
    <w:p>
      <w:pPr>
        <w:pStyle w:val="BodyText"/>
        <w:ind w:left="0"/>
        <w:kinsoku w:val="off"/>
        <w:overflowPunct w:val="off"/>
        <w:spacing w:line="276" w:lineRule="auto"/>
        <w:rPr>
          <w:lang w:val="en-US"/>
          <w:sz w:val="19"/>
          <w:szCs w:val="19"/>
        </w:rPr>
      </w:pPr>
    </w:p>
    <w:p>
      <w:pPr>
        <w:pStyle w:val="BodyText"/>
        <w:ind w:left="425" w:right="817" w:firstLine="425"/>
        <w:kinsoku w:val="off"/>
        <w:overflowPunct w:val="off"/>
        <w:jc w:val="both"/>
        <w:numPr>
          <w:ilvl w:val="0"/>
          <w:numId w:val="1"/>
        </w:numPr>
        <w:spacing w:line="276" w:lineRule="auto"/>
        <w:rPr>
          <w:lang w:val="en-US"/>
          <w:rFonts w:eastAsia="Arial Unicode MS"/>
          <w:spacing w:val="-1"/>
        </w:rPr>
      </w:pPr>
      <w:r>
        <w:rPr>
          <w:lang w:val="en-US"/>
          <w:rFonts w:eastAsia="Arial Unicode MS"/>
        </w:rPr>
        <w:t xml:space="preserve">IBF </w:t>
      </w:r>
      <w:r>
        <w:rPr>
          <w:lang w:val="en-US"/>
          <w:rFonts w:eastAsia="Arial Unicode MS"/>
          <w:spacing w:val="-1"/>
        </w:rPr>
        <w:t>Framework</w:t>
      </w:r>
      <w:r>
        <w:rPr>
          <w:lang w:val="en-US"/>
          <w:rFonts w:eastAsia="Arial Unicode MS"/>
        </w:rPr>
        <w:t xml:space="preserve"> </w:t>
      </w:r>
      <w:r>
        <w:rPr>
          <w:lang w:val="en-US"/>
          <w:rFonts w:eastAsia="Arial Unicode MS"/>
          <w:spacing w:val="-1"/>
        </w:rPr>
        <w:t>CBA</w:t>
      </w:r>
      <w:r>
        <w:rPr>
          <w:lang w:val="en-US"/>
          <w:rFonts w:eastAsia="Arial Unicode MS"/>
          <w:spacing w:val="-1"/>
        </w:rPr>
        <w:t xml:space="preserve"> (</w:t>
      </w:r>
      <w:r>
        <w:rPr>
          <w:lang w:val="en-GB"/>
          <w:rFonts w:eastAsia="Arial Unicode MS"/>
          <w:spacing w:val="-1"/>
        </w:rPr>
        <w:t>Annex 1)</w:t>
      </w:r>
      <w:r>
        <w:rPr>
          <w:lang w:val="en-US"/>
          <w:rFonts w:eastAsia="Arial Unicode MS"/>
          <w:spacing w:val="-1"/>
        </w:rPr>
        <w:t xml:space="preserve"> </w:t>
      </w:r>
    </w:p>
    <w:p>
      <w:pPr>
        <w:pStyle w:val="BodyText"/>
        <w:ind w:left="425" w:firstLine="425"/>
        <w:kinsoku w:val="off"/>
        <w:overflowPunct w:val="off"/>
        <w:jc w:val="both"/>
        <w:numPr>
          <w:ilvl w:val="0"/>
          <w:numId w:val="1"/>
        </w:numPr>
        <w:spacing w:line="276" w:lineRule="auto"/>
        <w:rPr>
          <w:lang w:val="en-US"/>
          <w:spacing w:val="-1"/>
        </w:rPr>
      </w:pPr>
      <w:r>
        <w:rPr>
          <w:lang w:val="en-US"/>
        </w:rPr>
        <w:t xml:space="preserve">IBF </w:t>
      </w:r>
      <w:r>
        <w:rPr>
          <w:lang w:val="en-US"/>
          <w:spacing w:val="-1"/>
        </w:rPr>
        <w:t>Special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Agreement</w:t>
      </w:r>
      <w:r>
        <w:rPr>
          <w:lang w:val="en-US"/>
          <w:spacing w:val="-1"/>
        </w:rPr>
        <w:t xml:space="preserve"> </w:t>
      </w:r>
      <w:r>
        <w:rPr>
          <w:lang w:val="en-US"/>
          <w:spacing w:val="-1"/>
        </w:rPr>
        <w:t>(Annex 2)</w:t>
      </w:r>
    </w:p>
    <w:p>
      <w:pPr>
        <w:pStyle w:val="BodyText"/>
        <w:ind w:left="425" w:right="817" w:firstLine="425"/>
        <w:kinsoku w:val="off"/>
        <w:overflowPunct w:val="off"/>
        <w:jc w:val="both"/>
        <w:numPr>
          <w:ilvl w:val="0"/>
          <w:numId w:val="1"/>
        </w:numPr>
        <w:spacing w:line="276" w:lineRule="auto"/>
        <w:rPr>
          <w:lang w:val="en-US"/>
          <w:rFonts w:eastAsia="Arial Unicode MS"/>
          <w:spacing w:val="-1"/>
        </w:rPr>
      </w:pPr>
      <w:r>
        <w:rPr>
          <w:lang w:val="en-US"/>
          <w:rFonts w:eastAsia="Arial Unicode MS"/>
        </w:rPr>
        <w:t>IBF MOA</w:t>
      </w:r>
      <w:r>
        <w:rPr>
          <w:lang w:val="en-US"/>
          <w:spacing w:val="-1"/>
        </w:rPr>
        <w:t>;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IBF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Partnership</w:t>
      </w:r>
      <w:r>
        <w:rPr>
          <w:lang w:val="en-US"/>
          <w:spacing w:val="-1"/>
        </w:rPr>
        <w:t xml:space="preserve"> </w:t>
      </w:r>
      <w:r>
        <w:rPr>
          <w:lang w:val="en-US"/>
        </w:rPr>
        <w:t>/</w:t>
      </w:r>
      <w:r>
        <w:rPr>
          <w:lang w:val="en-US"/>
        </w:rPr>
        <w:t xml:space="preserve"> </w:t>
      </w:r>
      <w:r>
        <w:rPr>
          <w:lang w:val="en-US"/>
          <w:spacing w:val="1"/>
        </w:rPr>
        <w:t>Work</w:t>
      </w:r>
      <w:r>
        <w:rPr>
          <w:lang w:val="en-US"/>
          <w:spacing w:val="-4"/>
        </w:rPr>
        <w:t xml:space="preserve"> </w:t>
      </w:r>
      <w:r>
        <w:rPr>
          <w:lang w:val="en-US"/>
          <w:spacing w:val="-1"/>
        </w:rPr>
        <w:t>Progra</w:t>
      </w:r>
      <w:r>
        <w:rPr>
          <w:lang w:val="en-US"/>
          <w:spacing w:val="-1"/>
        </w:rPr>
        <w:t>m</w:t>
      </w:r>
      <w:r>
        <w:rPr>
          <w:lang w:val="en-US"/>
          <w:spacing w:val="-1"/>
        </w:rPr>
        <w:t xml:space="preserve"> issues</w:t>
      </w:r>
      <w:r>
        <w:rPr>
          <w:lang w:val="en-US"/>
          <w:spacing w:val="1"/>
        </w:rPr>
        <w:t xml:space="preserve"> </w:t>
      </w:r>
      <w:r>
        <w:rPr>
          <w:lang w:val="en-US"/>
          <w:rFonts w:eastAsia="Arial Unicode MS"/>
        </w:rPr>
        <w:t>(Annex 3)</w:t>
      </w:r>
      <w:r>
        <w:rPr>
          <w:lang w:val="en-US"/>
          <w:rFonts w:eastAsia="Arial Unicode MS"/>
        </w:rPr>
        <w:t xml:space="preserve"> </w:t>
      </w:r>
    </w:p>
    <w:p>
      <w:pPr>
        <w:pStyle w:val="BodyText"/>
        <w:ind w:left="0" w:right="157"/>
        <w:kinsoku w:val="off"/>
        <w:overflowPunct w:val="off"/>
        <w:spacing w:line="276" w:lineRule="auto"/>
        <w:rPr>
          <w:lang w:val="en-US"/>
          <w:spacing w:val="-1"/>
        </w:rPr>
      </w:pPr>
    </w:p>
    <w:p>
      <w:pPr>
        <w:pStyle w:val="BodyText"/>
        <w:ind w:left="0" w:right="157"/>
        <w:kinsoku w:val="off"/>
        <w:overflowPunct w:val="off"/>
        <w:spacing w:line="276" w:lineRule="auto"/>
        <w:rPr>
          <w:lang w:val="en-US"/>
          <w:highlight w:val="yellow"/>
          <w:spacing w:val="-1"/>
        </w:rPr>
      </w:pPr>
      <w:r>
        <w:rPr>
          <w:lang w:val="en-US"/>
          <w:b/>
          <w:highlight w:val="yellow"/>
          <w:spacing w:val="-1"/>
        </w:rPr>
        <w:t xml:space="preserve">The Parties </w:t>
      </w:r>
      <w:r>
        <w:rPr>
          <w:lang w:val="en-US"/>
          <w:b/>
          <w:highlight w:val="yellow"/>
          <w:spacing w:val="-1"/>
        </w:rPr>
        <w:t>agree</w:t>
      </w:r>
      <w:r>
        <w:rPr>
          <w:lang w:val="en-US"/>
          <w:b/>
          <w:highlight w:val="yellow"/>
          <w:spacing w:val="-1"/>
        </w:rPr>
        <w:t xml:space="preserve"> that</w:t>
      </w:r>
      <w:r>
        <w:rPr>
          <w:lang w:val="en-US"/>
          <w:highlight w:val="yellow"/>
          <w:spacing w:val="-1"/>
        </w:rPr>
        <w:t xml:space="preserve"> </w:t>
      </w:r>
      <w:r>
        <w:rPr>
          <w:lang w:val="en-US"/>
          <w:highlight w:val="yellow"/>
          <w:spacing w:val="-1"/>
        </w:rPr>
        <w:t xml:space="preserve">with effect from </w:t>
      </w:r>
      <w:r>
        <w:rPr>
          <w:lang w:val="en-US"/>
          <w:b/>
          <w:bCs/>
          <w:highlight w:val="yellow"/>
          <w:spacing w:val="-1"/>
        </w:rPr>
        <w:t>01 January 202</w:t>
      </w:r>
      <w:r>
        <w:rPr>
          <w:lang w:val="en-US"/>
          <w:b/>
          <w:bCs/>
          <w:highlight w:val="yellow"/>
          <w:spacing w:val="-1"/>
        </w:rPr>
        <w:t>4</w:t>
      </w:r>
      <w:r>
        <w:rPr>
          <w:lang w:val="en-US"/>
          <w:highlight w:val="yellow"/>
          <w:spacing w:val="-1"/>
        </w:rPr>
        <w:t xml:space="preserve"> </w:t>
      </w:r>
      <w:r>
        <w:rPr>
          <w:lang w:val="en-US"/>
          <w:highlight w:val="yellow"/>
          <w:spacing w:val="-1"/>
        </w:rPr>
        <w:t>the IBF Agreement be amended to</w:t>
      </w:r>
      <w:r>
        <w:rPr>
          <w:lang w:val="en-US"/>
          <w:highlight w:val="yellow"/>
          <w:spacing w:val="-1"/>
        </w:rPr>
        <w:t xml:space="preserve"> incorporat</w:t>
      </w:r>
      <w:r>
        <w:rPr>
          <w:lang w:val="en-US"/>
          <w:highlight w:val="yellow"/>
          <w:spacing w:val="-1"/>
        </w:rPr>
        <w:t>e</w:t>
      </w:r>
      <w:r>
        <w:rPr>
          <w:lang w:val="en-US"/>
          <w:highlight w:val="yellow"/>
          <w:spacing w:val="-1"/>
        </w:rPr>
        <w:t xml:space="preserve"> </w:t>
      </w:r>
      <w:r>
        <w:rPr>
          <w:lang w:val="en-US"/>
          <w:highlight w:val="yellow"/>
          <w:spacing w:val="-1"/>
        </w:rPr>
        <w:t xml:space="preserve">the </w:t>
      </w:r>
      <w:r>
        <w:rPr>
          <w:lang w:val="en-US"/>
          <w:highlight w:val="yellow"/>
          <w:spacing w:val="-1"/>
        </w:rPr>
        <w:t>cost</w:t>
      </w:r>
      <w:r>
        <w:rPr>
          <w:lang w:val="en-US"/>
          <w:highlight w:val="yellow"/>
          <w:spacing w:val="-1"/>
        </w:rPr>
        <w:t xml:space="preserve"> elements</w:t>
      </w:r>
      <w:r>
        <w:rPr>
          <w:lang w:val="en-US"/>
          <w:highlight w:val="yellow"/>
          <w:spacing w:val="-1"/>
        </w:rPr>
        <w:t xml:space="preserve"> and contractual</w:t>
      </w:r>
      <w:r>
        <w:rPr>
          <w:lang w:val="en-US"/>
          <w:highlight w:val="yellow"/>
          <w:spacing w:val="-1"/>
        </w:rPr>
        <w:t xml:space="preserve"> </w:t>
      </w:r>
      <w:r>
        <w:rPr>
          <w:lang w:val="en-US"/>
          <w:highlight w:val="yellow"/>
          <w:spacing w:val="-1"/>
        </w:rPr>
        <w:t xml:space="preserve">clauses </w:t>
      </w:r>
      <w:r>
        <w:rPr>
          <w:lang w:val="en-US"/>
          <w:highlight w:val="yellow"/>
          <w:spacing w:val="-1"/>
        </w:rPr>
        <w:t>as</w:t>
      </w:r>
      <w:r>
        <w:rPr>
          <w:lang w:val="en-US"/>
          <w:highlight w:val="yellow"/>
          <w:spacing w:val="-1"/>
        </w:rPr>
        <w:t xml:space="preserve"> </w:t>
      </w:r>
      <w:r>
        <w:rPr>
          <w:lang w:val="en-US"/>
          <w:highlight w:val="yellow"/>
          <w:spacing w:val="-1"/>
        </w:rPr>
        <w:t>outlined</w:t>
      </w:r>
      <w:r>
        <w:rPr>
          <w:lang w:val="en-US"/>
          <w:highlight w:val="yellow"/>
          <w:spacing w:val="-1"/>
        </w:rPr>
        <w:t xml:space="preserve"> hereinafter</w:t>
      </w:r>
      <w:r>
        <w:rPr>
          <w:lang w:val="en-US"/>
          <w:highlight w:val="yellow"/>
          <w:spacing w:val="-1"/>
        </w:rPr>
        <w:t xml:space="preserve"> in this Operational Agreement</w:t>
      </w:r>
      <w:r>
        <w:rPr>
          <w:lang w:val="en-US"/>
          <w:highlight w:val="yellow"/>
          <w:spacing w:val="-1"/>
        </w:rPr>
        <w:t xml:space="preserve"> and in the attached Sections</w:t>
      </w:r>
      <w:r>
        <w:rPr>
          <w:lang w:val="en-US"/>
          <w:highlight w:val="yellow"/>
          <w:spacing w:val="-1"/>
        </w:rPr>
        <w:t xml:space="preserve"> of the</w:t>
      </w:r>
      <w:r>
        <w:rPr>
          <w:lang w:val="en-US"/>
          <w:highlight w:val="yellow"/>
          <w:spacing w:val="-1"/>
        </w:rPr>
        <w:t xml:space="preserve"> IBF</w:t>
      </w:r>
      <w:r>
        <w:rPr>
          <w:lang w:val="en-US"/>
          <w:highlight w:val="yellow"/>
          <w:spacing w:val="-1"/>
        </w:rPr>
        <w:t xml:space="preserve"> Agreement</w:t>
      </w:r>
      <w:r>
        <w:rPr>
          <w:lang w:val="en-US"/>
          <w:highlight w:val="yellow"/>
          <w:spacing w:val="-1"/>
        </w:rPr>
        <w:t xml:space="preserve">. </w:t>
      </w:r>
    </w:p>
    <w:p>
      <w:pPr>
        <w:pStyle w:val="BodyText"/>
        <w:ind w:left="0" w:right="157"/>
        <w:kinsoku w:val="off"/>
        <w:overflowPunct w:val="off"/>
        <w:spacing w:line="276" w:lineRule="auto"/>
        <w:rPr>
          <w:lang w:val="en-US"/>
          <w:spacing w:val="-1"/>
        </w:rPr>
      </w:pPr>
    </w:p>
    <w:p>
      <w:pPr>
        <w:pStyle w:val="BodyText"/>
        <w:ind w:left="0" w:right="157"/>
        <w:kinsoku w:val="off"/>
        <w:overflowPunct w:val="off"/>
        <w:spacing w:line="276" w:lineRule="auto"/>
        <w:rPr>
          <w:lang w:val="en-US"/>
          <w:spacing w:val="-1"/>
        </w:rPr>
      </w:pPr>
      <w:r>
        <w:rPr>
          <w:lang w:val="en-US"/>
          <w:b/>
          <w:spacing w:val="-1"/>
        </w:rPr>
        <w:t xml:space="preserve">The Parties </w:t>
      </w:r>
      <w:r>
        <w:rPr>
          <w:lang w:val="en-US"/>
          <w:b/>
          <w:spacing w:val="-1"/>
        </w:rPr>
        <w:t xml:space="preserve">further </w:t>
      </w:r>
      <w:r>
        <w:rPr>
          <w:lang w:val="en-US"/>
          <w:b/>
          <w:spacing w:val="-1"/>
        </w:rPr>
        <w:t>agree</w:t>
      </w:r>
      <w:r>
        <w:rPr>
          <w:lang w:val="en-US"/>
          <w:spacing w:val="-1"/>
        </w:rPr>
        <w:t xml:space="preserve"> that</w:t>
      </w:r>
      <w:r>
        <w:rPr>
          <w:lang w:val="en-US"/>
          <w:spacing w:val="-1"/>
        </w:rPr>
        <w:t xml:space="preserve"> t</w:t>
      </w:r>
      <w:r>
        <w:rPr>
          <w:lang w:val="en-US"/>
          <w:spacing w:val="-1"/>
        </w:rPr>
        <w:t>he IBF Agreement</w:t>
      </w:r>
      <w:r>
        <w:rPr>
          <w:lang w:val="en-US"/>
          <w:spacing w:val="-1"/>
        </w:rPr>
        <w:t xml:space="preserve">, as amended, </w:t>
      </w:r>
      <w:r>
        <w:rPr>
          <w:lang w:val="en-US"/>
          <w:spacing w:val="-1"/>
        </w:rPr>
        <w:t xml:space="preserve">shall be </w:t>
      </w:r>
      <w:r>
        <w:rPr>
          <w:lang w:val="en-US"/>
          <w:spacing w:val="-1"/>
        </w:rPr>
        <w:t>valid</w:t>
      </w:r>
      <w:r>
        <w:rPr>
          <w:lang w:val="en-US"/>
          <w:spacing w:val="-1"/>
        </w:rPr>
        <w:t xml:space="preserve"> for the period of </w:t>
      </w:r>
      <w:r>
        <w:rPr>
          <w:lang w:val="en-US"/>
          <w:spacing w:val="-1"/>
        </w:rPr>
        <w:t>two</w:t>
      </w:r>
      <w:r>
        <w:rPr>
          <w:lang w:val="en-US"/>
          <w:spacing w:val="-1"/>
        </w:rPr>
        <w:t xml:space="preserve"> </w:t>
      </w:r>
      <w:r>
        <w:rPr>
          <w:lang w:val="en-US"/>
          <w:spacing w:val="-1"/>
        </w:rPr>
        <w:t>years,</w:t>
      </w:r>
      <w:r>
        <w:rPr>
          <w:lang w:val="en-US"/>
          <w:spacing w:val="-1"/>
        </w:rPr>
        <w:t xml:space="preserve"> </w:t>
      </w:r>
      <w:r>
        <w:rPr>
          <w:lang w:val="en-US"/>
          <w:spacing w:val="-1"/>
        </w:rPr>
        <w:t>from 01 January 202</w:t>
      </w:r>
      <w:r>
        <w:rPr>
          <w:lang w:val="en-US"/>
          <w:spacing w:val="-1"/>
        </w:rPr>
        <w:t>4</w:t>
      </w:r>
      <w:r>
        <w:rPr>
          <w:lang w:val="en-US"/>
          <w:spacing w:val="-1"/>
        </w:rPr>
        <w:t xml:space="preserve"> to 31 December 202</w:t>
      </w:r>
      <w:r>
        <w:rPr>
          <w:lang w:val="en-US"/>
          <w:spacing w:val="-1"/>
        </w:rPr>
        <w:t xml:space="preserve">5. </w:t>
      </w:r>
    </w:p>
    <w:p>
      <w:pPr>
        <w:pStyle w:val="BodyText"/>
        <w:ind w:left="0" w:right="157"/>
        <w:kinsoku w:val="off"/>
        <w:overflowPunct w:val="off"/>
        <w:spacing w:line="276" w:lineRule="auto"/>
        <w:rPr>
          <w:lang w:val="en-US"/>
          <w:spacing w:val="-1"/>
        </w:rPr>
      </w:pPr>
    </w:p>
    <w:p>
      <w:pPr>
        <w:pStyle w:val="BodyText"/>
        <w:ind w:left="0" w:right="157"/>
        <w:kinsoku w:val="off"/>
        <w:overflowPunct w:val="off"/>
        <w:spacing w:line="276" w:lineRule="auto"/>
        <w:rPr>
          <w:lang w:val="en-US"/>
          <w:spacing w:val="-1"/>
        </w:rPr>
      </w:pPr>
      <w:r>
        <w:rPr>
          <w:lang w:val="en-US"/>
          <w:spacing w:val="-1"/>
        </w:rPr>
        <w:t>T</w:t>
      </w:r>
      <w:r>
        <w:rPr>
          <w:lang w:val="en-US"/>
          <w:spacing w:val="-1"/>
        </w:rPr>
        <w:t>he level of seaf</w:t>
      </w:r>
      <w:r>
        <w:rPr>
          <w:lang w:val="en-US"/>
          <w:spacing w:val="-1"/>
        </w:rPr>
        <w:t>a</w:t>
      </w:r>
      <w:r>
        <w:rPr>
          <w:lang w:val="en-US"/>
          <w:spacing w:val="-1"/>
        </w:rPr>
        <w:t>rers</w:t>
      </w:r>
      <w:r>
        <w:rPr>
          <w:lang w:val="en-US"/>
          <w:spacing w:val="-1"/>
        </w:rPr>
        <w:t>’</w:t>
      </w:r>
      <w:r>
        <w:rPr>
          <w:lang w:val="en-US"/>
          <w:spacing w:val="-1"/>
        </w:rPr>
        <w:t xml:space="preserve"> wages and other cost elements of the </w:t>
      </w:r>
      <w:r>
        <w:rPr>
          <w:lang w:val="en-US"/>
          <w:spacing w:val="-1"/>
        </w:rPr>
        <w:t>202</w:t>
      </w:r>
      <w:r>
        <w:rPr>
          <w:lang w:val="en-US"/>
          <w:spacing w:val="-1"/>
        </w:rPr>
        <w:t>4</w:t>
      </w:r>
      <w:r>
        <w:rPr>
          <w:lang w:val="en-US"/>
          <w:spacing w:val="-1"/>
        </w:rPr>
        <w:t>-202</w:t>
      </w:r>
      <w:r>
        <w:rPr>
          <w:lang w:val="en-US"/>
          <w:spacing w:val="-1"/>
        </w:rPr>
        <w:t>5</w:t>
      </w:r>
      <w:r>
        <w:rPr>
          <w:lang w:val="en-US"/>
          <w:spacing w:val="-1"/>
        </w:rPr>
        <w:t xml:space="preserve"> </w:t>
      </w:r>
      <w:r>
        <w:rPr>
          <w:lang w:val="en-US"/>
          <w:spacing w:val="-1"/>
        </w:rPr>
        <w:t>IBF Agreement</w:t>
      </w:r>
      <w:r>
        <w:rPr>
          <w:lang w:val="en-US"/>
          <w:spacing w:val="-1"/>
        </w:rPr>
        <w:t xml:space="preserve"> </w:t>
      </w:r>
      <w:r>
        <w:rPr>
          <w:lang w:val="en-US"/>
          <w:spacing w:val="-1"/>
        </w:rPr>
        <w:t xml:space="preserve">shall </w:t>
      </w:r>
      <w:r>
        <w:rPr>
          <w:lang w:val="en-US"/>
        </w:rPr>
        <w:t xml:space="preserve">be </w:t>
      </w:r>
      <w:r>
        <w:rPr>
          <w:lang w:val="en-US"/>
          <w:spacing w:val="-1"/>
        </w:rPr>
        <w:t>considered</w:t>
      </w:r>
      <w:r>
        <w:rPr>
          <w:lang w:val="en-US"/>
          <w:spacing w:val="-2"/>
        </w:rPr>
        <w:t xml:space="preserve"> </w:t>
      </w:r>
      <w:r>
        <w:rPr>
          <w:lang w:val="en-US"/>
        </w:rPr>
        <w:t xml:space="preserve">for </w:t>
      </w:r>
      <w:r>
        <w:rPr>
          <w:lang w:val="en-US"/>
          <w:spacing w:val="-1"/>
        </w:rPr>
        <w:t>revision</w:t>
      </w:r>
      <w:r>
        <w:rPr>
          <w:lang w:val="en-US"/>
        </w:rPr>
        <w:t xml:space="preserve"> at a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meeting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of</w:t>
      </w:r>
      <w:r>
        <w:rPr>
          <w:lang w:val="en-US"/>
          <w:spacing w:val="2"/>
        </w:rPr>
        <w:t xml:space="preserve"> </w:t>
      </w:r>
      <w:r>
        <w:rPr>
          <w:lang w:val="en-US"/>
          <w:spacing w:val="-1"/>
        </w:rPr>
        <w:t xml:space="preserve">the </w:t>
      </w:r>
      <w:r>
        <w:rPr>
          <w:lang w:val="en-US"/>
        </w:rPr>
        <w:t>Forum</w:t>
      </w:r>
      <w:r>
        <w:rPr>
          <w:lang w:val="en-US"/>
          <w:spacing w:val="1"/>
        </w:rPr>
        <w:t xml:space="preserve"> </w:t>
      </w:r>
      <w:r>
        <w:rPr>
          <w:lang w:val="en-US"/>
          <w:spacing w:val="-1"/>
        </w:rPr>
        <w:t>to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be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convened</w:t>
      </w:r>
      <w:r>
        <w:rPr>
          <w:lang w:val="en-US"/>
          <w:spacing w:val="-2"/>
        </w:rPr>
        <w:t xml:space="preserve"> </w:t>
      </w:r>
      <w:r>
        <w:rPr>
          <w:lang w:val="en-US"/>
        </w:rPr>
        <w:t>on</w:t>
      </w:r>
      <w:r>
        <w:rPr>
          <w:lang w:val="en-US"/>
          <w:spacing w:val="-2"/>
        </w:rPr>
        <w:t xml:space="preserve"> </w:t>
      </w:r>
      <w:r>
        <w:rPr>
          <w:lang w:val="en-US"/>
        </w:rPr>
        <w:t xml:space="preserve">a </w:t>
      </w:r>
      <w:r>
        <w:rPr>
          <w:lang w:val="en-US"/>
          <w:spacing w:val="-1"/>
        </w:rPr>
        <w:t>date agreed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between</w:t>
      </w:r>
      <w:r>
        <w:rPr>
          <w:lang w:val="en-US"/>
          <w:spacing w:val="-2"/>
        </w:rPr>
        <w:t xml:space="preserve"> </w:t>
      </w:r>
      <w:r>
        <w:rPr>
          <w:lang w:val="en-US"/>
        </w:rPr>
        <w:t>the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two</w:t>
      </w:r>
      <w:r>
        <w:rPr>
          <w:lang w:val="en-US"/>
        </w:rPr>
        <w:t xml:space="preserve"> </w:t>
      </w:r>
      <w:r>
        <w:rPr>
          <w:lang w:val="en-US"/>
        </w:rPr>
        <w:t>P</w:t>
      </w:r>
      <w:r>
        <w:rPr>
          <w:lang w:val="en-US"/>
        </w:rPr>
        <w:t xml:space="preserve">arties, </w:t>
      </w:r>
      <w:r>
        <w:rPr>
          <w:lang w:val="en-US"/>
          <w:spacing w:val="-1"/>
        </w:rPr>
        <w:t>which</w:t>
      </w:r>
      <w:r>
        <w:rPr>
          <w:lang w:val="en-US"/>
          <w:spacing w:val="41"/>
        </w:rPr>
        <w:t xml:space="preserve"> </w:t>
      </w:r>
      <w:r>
        <w:rPr>
          <w:lang w:val="en-US"/>
        </w:rPr>
        <w:t>shall</w:t>
      </w:r>
      <w:r>
        <w:rPr>
          <w:lang w:val="en-US"/>
          <w:spacing w:val="-1"/>
        </w:rPr>
        <w:t xml:space="preserve"> </w:t>
      </w:r>
      <w:r>
        <w:rPr>
          <w:lang w:val="en-US"/>
        </w:rPr>
        <w:t>be</w:t>
      </w:r>
      <w:r>
        <w:rPr>
          <w:lang w:val="en-US"/>
          <w:spacing w:val="-2"/>
        </w:rPr>
        <w:t xml:space="preserve"> </w:t>
      </w:r>
      <w:r>
        <w:rPr>
          <w:lang w:val="en-US"/>
        </w:rPr>
        <w:t>not</w:t>
      </w:r>
      <w:r>
        <w:rPr>
          <w:lang w:val="en-US"/>
          <w:spacing w:val="-2"/>
        </w:rPr>
        <w:t xml:space="preserve"> </w:t>
      </w:r>
      <w:r>
        <w:rPr>
          <w:lang w:val="en-US"/>
        </w:rPr>
        <w:t>later</w:t>
      </w:r>
      <w:r>
        <w:rPr>
          <w:lang w:val="en-US"/>
          <w:spacing w:val="-3"/>
        </w:rPr>
        <w:t xml:space="preserve"> </w:t>
      </w:r>
      <w:r>
        <w:rPr>
          <w:lang w:val="en-US"/>
          <w:spacing w:val="-1"/>
        </w:rPr>
        <w:t>than</w:t>
      </w:r>
      <w:r>
        <w:rPr>
          <w:lang w:val="en-US"/>
          <w:spacing w:val="-2"/>
        </w:rPr>
        <w:t xml:space="preserve"> </w:t>
      </w:r>
      <w:r>
        <w:rPr>
          <w:lang w:val="en-US"/>
        </w:rPr>
        <w:t>six</w:t>
      </w:r>
      <w:r>
        <w:rPr>
          <w:lang w:val="en-US"/>
          <w:spacing w:val="-3"/>
        </w:rPr>
        <w:t xml:space="preserve"> </w:t>
      </w:r>
      <w:r>
        <w:rPr>
          <w:lang w:val="en-US"/>
        </w:rPr>
        <w:t>months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prior</w:t>
      </w:r>
      <w:r>
        <w:rPr>
          <w:lang w:val="en-US"/>
        </w:rPr>
        <w:t xml:space="preserve"> to</w:t>
      </w:r>
      <w:r>
        <w:rPr>
          <w:lang w:val="en-US"/>
          <w:spacing w:val="-1"/>
        </w:rPr>
        <w:t xml:space="preserve"> </w:t>
      </w:r>
      <w:r>
        <w:rPr>
          <w:lang w:val="en-US"/>
          <w:spacing w:val="-1"/>
        </w:rPr>
        <w:t>31 December 202</w:t>
      </w:r>
      <w:r>
        <w:rPr>
          <w:lang w:val="en-US"/>
          <w:spacing w:val="-1"/>
        </w:rPr>
        <w:t>5</w:t>
      </w:r>
      <w:r>
        <w:rPr>
          <w:lang w:val="en-US"/>
          <w:spacing w:val="-1"/>
        </w:rPr>
        <w:t>.</w:t>
      </w:r>
      <w:r>
        <w:rPr>
          <w:lang w:val="en-US"/>
          <w:spacing w:val="-1"/>
        </w:rPr>
        <w:t xml:space="preserve"> </w:t>
      </w:r>
      <w:r>
        <w:rPr>
          <w:lang w:val="en-US"/>
          <w:spacing w:val="-1"/>
        </w:rPr>
        <w:t>However, where as a result of emergencies or other overriding circumstances amendments to the IBF Agreeme</w:t>
      </w:r>
      <w:r>
        <w:rPr>
          <w:lang w:val="en-US"/>
          <w:spacing w:val="-1"/>
        </w:rPr>
        <w:t>nt may be required earlier</w:t>
      </w:r>
      <w:r>
        <w:rPr>
          <w:lang w:val="en-US"/>
          <w:spacing w:val="-1"/>
        </w:rPr>
        <w:t>,</w:t>
      </w:r>
      <w:r>
        <w:rPr>
          <w:lang w:val="en-US"/>
          <w:spacing w:val="-1"/>
        </w:rPr>
        <w:t xml:space="preserve"> </w:t>
      </w:r>
      <w:r>
        <w:rPr>
          <w:lang w:val="en-US"/>
          <w:spacing w:val="-1"/>
        </w:rPr>
        <w:t>both P</w:t>
      </w:r>
      <w:r>
        <w:rPr>
          <w:lang w:val="en-US"/>
          <w:spacing w:val="-1"/>
        </w:rPr>
        <w:t>arties may consider them at a shorter interval.</w:t>
      </w:r>
    </w:p>
    <w:p>
      <w:pPr>
        <w:pStyle w:val="BodyText"/>
        <w:ind w:left="0" w:right="157"/>
        <w:kinsoku w:val="off"/>
        <w:overflowPunct w:val="off"/>
        <w:spacing w:line="276" w:lineRule="auto"/>
        <w:rPr>
          <w:lang w:val="en-US"/>
          <w:spacing w:val="-1"/>
        </w:rPr>
      </w:pPr>
    </w:p>
    <w:p>
      <w:pPr>
        <w:pStyle w:val="BodyText"/>
        <w:ind w:left="0" w:right="157"/>
        <w:kinsoku w:val="off"/>
        <w:overflowPunct w:val="off"/>
        <w:spacing w:line="276" w:lineRule="auto"/>
        <w:rPr>
          <w:lang w:val="en-US"/>
          <w:spacing w:val="-1"/>
        </w:rPr>
      </w:pPr>
      <w:r>
        <w:rPr>
          <w:lang w:val="en-US"/>
          <w:spacing w:val="-1"/>
        </w:rPr>
        <w:t>Provided that in</w:t>
      </w:r>
      <w:r>
        <w:rPr>
          <w:lang w:val="en-US"/>
          <w:spacing w:val="-1"/>
        </w:rPr>
        <w:t xml:space="preserve"> 2025 the Parties reach a successful settlement in respect of seafarers</w:t>
      </w:r>
      <w:r>
        <w:rPr>
          <w:lang w:val="en-US"/>
          <w:spacing w:val="-1"/>
        </w:rPr>
        <w:t>’</w:t>
      </w:r>
      <w:r>
        <w:rPr>
          <w:lang w:val="en-US"/>
          <w:spacing w:val="-1"/>
        </w:rPr>
        <w:t xml:space="preserve"> wages and other cost elements</w:t>
      </w:r>
      <w:r>
        <w:rPr>
          <w:lang w:val="en-US"/>
          <w:spacing w:val="-1"/>
        </w:rPr>
        <w:t>,</w:t>
      </w:r>
      <w:r>
        <w:rPr>
          <w:lang w:val="en-US"/>
          <w:spacing w:val="-1"/>
        </w:rPr>
        <w:t xml:space="preserve"> </w:t>
      </w:r>
      <w:r>
        <w:rPr>
          <w:lang w:val="en-US"/>
          <w:spacing w:val="-1"/>
        </w:rPr>
        <w:t xml:space="preserve">the </w:t>
      </w:r>
      <w:r>
        <w:rPr>
          <w:lang w:val="en-US"/>
          <w:spacing w:val="-1"/>
        </w:rPr>
        <w:t xml:space="preserve">IBF Agreement </w:t>
      </w:r>
      <w:r>
        <w:rPr>
          <w:lang w:val="en-US"/>
          <w:spacing w:val="-1"/>
        </w:rPr>
        <w:t>may be extended</w:t>
      </w:r>
      <w:r>
        <w:rPr>
          <w:lang w:val="en-US"/>
          <w:spacing w:val="-1"/>
        </w:rPr>
        <w:t xml:space="preserve"> </w:t>
      </w:r>
      <w:r>
        <w:rPr>
          <w:lang w:val="en-US"/>
          <w:spacing w:val="-1"/>
        </w:rPr>
        <w:t xml:space="preserve">for a </w:t>
      </w:r>
      <w:r>
        <w:rPr>
          <w:lang w:val="en-US"/>
          <w:spacing w:val="-1"/>
        </w:rPr>
        <w:t>further</w:t>
      </w:r>
      <w:r>
        <w:rPr>
          <w:lang w:val="en-US"/>
          <w:spacing w:val="-1"/>
        </w:rPr>
        <w:t xml:space="preserve"> period </w:t>
      </w:r>
      <w:r>
        <w:rPr>
          <w:lang w:val="en-US"/>
          <w:spacing w:val="-1"/>
        </w:rPr>
        <w:t>subject to and in line with the terms and conditions the Parties may identify in a new Operational Agreement.</w:t>
      </w:r>
    </w:p>
    <w:p>
      <w:pPr>
        <w:pStyle w:val="BodyText"/>
        <w:ind w:left="0" w:right="157"/>
        <w:kinsoku w:val="off"/>
        <w:overflowPunct w:val="off"/>
        <w:spacing w:line="276" w:lineRule="auto"/>
        <w:rPr>
          <w:lang w:val="en-US"/>
          <w:spacing w:val="-1"/>
        </w:rPr>
      </w:pPr>
    </w:p>
    <w:p>
      <w:pPr>
        <w:pStyle w:val="BodyText"/>
        <w:ind w:left="0" w:right="157"/>
        <w:kinsoku w:val="off"/>
        <w:overflowPunct w:val="off"/>
        <w:spacing w:line="276" w:lineRule="auto"/>
        <w:rPr>
          <w:lang w:val="en-US"/>
          <w:spacing w:val="-1"/>
        </w:rPr>
      </w:pPr>
      <w:r>
        <w:rPr>
          <w:lang w:val="en-US"/>
          <w:b/>
          <w:spacing w:val="-1"/>
        </w:rPr>
        <w:t>Additionally</w:t>
      </w:r>
      <w:r>
        <w:rPr>
          <w:lang w:val="en-US"/>
          <w:b/>
          <w:spacing w:val="-1"/>
        </w:rPr>
        <w:t>, the Parties agree</w:t>
      </w:r>
      <w:r>
        <w:rPr>
          <w:lang w:val="en-US"/>
          <w:spacing w:val="-1"/>
        </w:rPr>
        <w:t xml:space="preserve"> to establish </w:t>
      </w:r>
      <w:r>
        <w:rPr>
          <w:lang w:val="en-US"/>
          <w:spacing w:val="-1"/>
        </w:rPr>
        <w:t xml:space="preserve">the </w:t>
      </w:r>
      <w:r>
        <w:rPr>
          <w:lang w:val="en-US"/>
          <w:spacing w:val="-1"/>
        </w:rPr>
        <w:t>below</w:t>
      </w:r>
      <w:r>
        <w:rPr>
          <w:lang w:val="en-US"/>
          <w:spacing w:val="-1"/>
        </w:rPr>
        <w:t xml:space="preserve"> joint </w:t>
      </w:r>
      <w:r>
        <w:rPr>
          <w:lang w:val="en-US"/>
          <w:spacing w:val="-1"/>
        </w:rPr>
        <w:t>g</w:t>
      </w:r>
      <w:r>
        <w:rPr>
          <w:lang w:val="en-US"/>
          <w:spacing w:val="-1"/>
        </w:rPr>
        <w:t>roup</w:t>
      </w:r>
      <w:r>
        <w:rPr>
          <w:lang w:val="en-US"/>
          <w:spacing w:val="-1"/>
        </w:rPr>
        <w:t>s</w:t>
      </w:r>
      <w:r>
        <w:rPr>
          <w:lang w:val="en-US"/>
          <w:spacing w:val="-1"/>
        </w:rPr>
        <w:t xml:space="preserve"> and prepare</w:t>
      </w:r>
      <w:r>
        <w:rPr>
          <w:lang w:val="en-US"/>
          <w:spacing w:val="-1"/>
        </w:rPr>
        <w:t xml:space="preserve"> respective recommendations for consideration by the Forum</w:t>
      </w:r>
      <w:r>
        <w:rPr>
          <w:lang w:val="en-US"/>
          <w:spacing w:val="-1"/>
        </w:rPr>
        <w:t xml:space="preserve"> when it next convenes</w:t>
      </w:r>
      <w:r>
        <w:rPr>
          <w:lang w:val="en-US"/>
          <w:spacing w:val="-1"/>
        </w:rPr>
        <w:t xml:space="preserve"> for a full round of negotiations</w:t>
      </w:r>
      <w:r>
        <w:rPr>
          <w:lang w:val="en-US"/>
          <w:spacing w:val="-1"/>
        </w:rPr>
        <w:t>:</w:t>
      </w:r>
    </w:p>
    <w:p>
      <w:pPr>
        <w:pStyle w:val="BodyText"/>
        <w:ind w:right="157"/>
        <w:kinsoku w:val="off"/>
        <w:overflowPunct w:val="off"/>
        <w:numPr>
          <w:ilvl w:val="0"/>
          <w:numId w:val="2"/>
        </w:numPr>
        <w:spacing w:line="276" w:lineRule="auto"/>
        <w:rPr>
          <w:lang w:val="en-US"/>
          <w:spacing w:val="-1"/>
        </w:rPr>
      </w:pPr>
      <w:r>
        <w:rPr>
          <w:lang w:val="en-US"/>
          <w:spacing w:val="-1"/>
        </w:rPr>
        <w:t>IBF Focus Group on the Future of the Industry</w:t>
      </w:r>
      <w:r>
        <w:rPr>
          <w:lang w:val="en-US"/>
          <w:spacing w:val="-1"/>
        </w:rPr>
        <w:t xml:space="preserve"> to</w:t>
      </w:r>
      <w:r>
        <w:rPr>
          <w:lang w:val="en-US"/>
          <w:spacing w:val="-1"/>
        </w:rPr>
        <w:t xml:space="preserve"> </w:t>
      </w:r>
      <w:r>
        <w:rPr>
          <w:lang w:val="en-US"/>
          <w:spacing w:val="-1"/>
        </w:rPr>
        <w:t>draw on the fundamental principles of the IBF, in order to ensure it is sustainable in the future</w:t>
      </w:r>
      <w:r>
        <w:rPr>
          <w:lang w:val="en-US"/>
          <w:spacing w:val="-1"/>
        </w:rPr>
        <w:t>.</w:t>
      </w:r>
    </w:p>
    <w:p>
      <w:pPr>
        <w:pStyle w:val="BodyText"/>
        <w:ind w:right="157"/>
        <w:kinsoku w:val="off"/>
        <w:overflowPunct w:val="off"/>
        <w:numPr>
          <w:ilvl w:val="0"/>
          <w:numId w:val="2"/>
        </w:numPr>
        <w:spacing w:line="276" w:lineRule="auto"/>
        <w:rPr>
          <w:lang w:val="en-US"/>
          <w:spacing w:val="-1"/>
        </w:rPr>
      </w:pPr>
      <w:r>
        <w:rPr>
          <w:lang w:val="en-US"/>
          <w:spacing w:val="-1"/>
        </w:rPr>
        <w:t>Industry Task Force, including P&amp;I Club representatives, to look at items includin</w:t>
      </w:r>
      <w:r>
        <w:rPr>
          <w:lang w:val="en-US"/>
          <w:spacing w:val="-1"/>
        </w:rPr>
        <w:t>g</w:t>
      </w:r>
      <w:r>
        <w:rPr>
          <w:lang w:val="en-US"/>
          <w:spacing w:val="-1"/>
        </w:rPr>
        <w:t xml:space="preserve"> death &amp; </w:t>
      </w:r>
      <w:r>
        <w:rPr>
          <w:lang w:val="en-US"/>
          <w:spacing w:val="-1"/>
        </w:rPr>
        <w:t>disability as well as loss of life – death in service.</w:t>
      </w:r>
    </w:p>
    <w:p>
      <w:pPr>
        <w:pStyle w:val="BodyText"/>
        <w:ind w:right="157"/>
        <w:kinsoku w:val="off"/>
        <w:overflowPunct w:val="off"/>
        <w:numPr>
          <w:ilvl w:val="0"/>
          <w:numId w:val="2"/>
        </w:numPr>
        <w:spacing w:line="276" w:lineRule="auto"/>
        <w:rPr>
          <w:lang w:val="en-US"/>
          <w:spacing w:val="-1"/>
        </w:rPr>
      </w:pPr>
      <w:r>
        <w:rPr>
          <w:lang w:val="en-US"/>
          <w:spacing w:val="-1"/>
        </w:rPr>
        <w:t>ITF Inspection Operational Working Group</w:t>
      </w:r>
      <w:r>
        <w:rPr>
          <w:lang w:val="en-US"/>
          <w:spacing w:val="-1"/>
        </w:rPr>
        <w:t>, to loo</w:t>
      </w:r>
      <w:r>
        <w:rPr>
          <w:lang w:val="en-US"/>
          <w:spacing w:val="-1"/>
        </w:rPr>
        <w:t>k at issues and develop protocols</w:t>
      </w:r>
      <w:r>
        <w:rPr>
          <w:lang w:val="en-US"/>
          <w:spacing w:val="-1"/>
        </w:rPr>
        <w:t>.</w:t>
      </w:r>
    </w:p>
    <w:p>
      <w:pPr>
        <w:pStyle w:val="BodyText"/>
        <w:ind w:left="0" w:right="157"/>
        <w:kinsoku w:val="off"/>
        <w:overflowPunct w:val="off"/>
        <w:spacing w:line="276" w:lineRule="auto"/>
        <w:rPr>
          <w:lang w:val="en-US"/>
          <w:spacing w:val="-1"/>
        </w:rPr>
      </w:pPr>
    </w:p>
    <w:p>
      <w:pPr>
        <w:pStyle w:val="BodyText"/>
        <w:ind w:left="0"/>
        <w:kinsoku w:val="off"/>
        <w:overflowPunct w:val="off"/>
        <w:jc w:val="both"/>
        <w:spacing w:line="276" w:lineRule="auto"/>
        <w:rPr>
          <w:lang w:val="en-US"/>
          <w:highlight w:val="yellow"/>
          <w:spacing w:val="-1"/>
        </w:rPr>
      </w:pPr>
      <w:r>
        <w:rPr>
          <w:lang w:val="en-US"/>
          <w:b/>
          <w:highlight w:val="yellow"/>
          <w:spacing w:val="-1"/>
        </w:rPr>
        <w:t xml:space="preserve">The </w:t>
      </w:r>
      <w:r>
        <w:rPr>
          <w:lang w:val="en-US"/>
          <w:b/>
          <w:highlight w:val="yellow"/>
          <w:spacing w:val="-1"/>
        </w:rPr>
        <w:t>agreed</w:t>
      </w:r>
      <w:r>
        <w:rPr>
          <w:lang w:val="en-US"/>
          <w:b/>
          <w:highlight w:val="yellow"/>
          <w:spacing w:val="-1"/>
        </w:rPr>
        <w:t xml:space="preserve"> </w:t>
      </w:r>
      <w:r>
        <w:rPr>
          <w:lang w:val="en-US"/>
          <w:b/>
          <w:highlight w:val="yellow"/>
          <w:spacing w:val="-1"/>
        </w:rPr>
        <w:t>cost elements</w:t>
      </w:r>
      <w:r>
        <w:rPr>
          <w:lang w:val="en-US"/>
          <w:highlight w:val="yellow"/>
          <w:spacing w:val="-1"/>
        </w:rPr>
        <w:t xml:space="preserve"> </w:t>
      </w:r>
      <w:r>
        <w:rPr>
          <w:lang w:val="en-US"/>
          <w:highlight w:val="yellow"/>
          <w:spacing w:val="-1"/>
        </w:rPr>
        <w:t xml:space="preserve">for the incorporation in the IBF </w:t>
      </w:r>
      <w:r>
        <w:rPr>
          <w:lang w:val="en-US"/>
          <w:highlight w:val="yellow"/>
          <w:spacing w:val="-1"/>
        </w:rPr>
        <w:t>2024</w:t>
      </w:r>
      <w:r>
        <w:rPr>
          <w:lang w:val="en-US"/>
          <w:highlight w:val="yellow"/>
          <w:spacing w:val="-1"/>
        </w:rPr>
        <w:t>-</w:t>
      </w:r>
      <w:r>
        <w:rPr>
          <w:lang w:val="en-US"/>
          <w:highlight w:val="yellow"/>
          <w:spacing w:val="-1"/>
        </w:rPr>
        <w:t xml:space="preserve">2025 </w:t>
      </w:r>
      <w:r>
        <w:rPr>
          <w:lang w:val="en-US"/>
          <w:highlight w:val="yellow"/>
          <w:spacing w:val="-1"/>
        </w:rPr>
        <w:t xml:space="preserve">IBF Agreement </w:t>
      </w:r>
      <w:r>
        <w:rPr>
          <w:lang w:val="en-US"/>
          <w:highlight w:val="yellow"/>
          <w:spacing w:val="-1"/>
        </w:rPr>
        <w:t>are as follows</w:t>
      </w:r>
      <w:r>
        <w:rPr>
          <w:lang w:val="en-US"/>
          <w:highlight w:val="yellow"/>
          <w:spacing w:val="-1"/>
        </w:rPr>
        <w:t>:</w:t>
      </w:r>
      <w:r>
        <w:rPr>
          <w:lang w:val="en-US"/>
          <w:highlight w:val="yellow"/>
          <w:spacing w:val="-1"/>
        </w:rPr>
        <w:t xml:space="preserve"> </w:t>
      </w:r>
    </w:p>
    <w:p>
      <w:pPr>
        <w:pStyle w:val="BodyText"/>
        <w:ind w:left="0" w:right="219"/>
        <w:kinsoku w:val="off"/>
        <w:overflowPunct w:val="off"/>
        <w:tabs>
          <w:tab w:val="left" w:pos="1401"/>
        </w:tabs>
        <w:spacing w:line="276" w:lineRule="auto"/>
        <w:rPr>
          <w:lang w:val="en-US"/>
          <w:highlight w:val="yellow"/>
          <w:spacing w:val="-1"/>
        </w:rPr>
      </w:pPr>
    </w:p>
    <w:p>
      <w:pPr>
        <w:pStyle w:val="BodyText"/>
        <w:ind w:right="219"/>
        <w:kinsoku w:val="off"/>
        <w:overflowPunct w:val="off"/>
        <w:numPr>
          <w:ilvl w:val="0"/>
          <w:numId w:val="3"/>
        </w:numPr>
        <w:tabs>
          <w:tab w:val="left" w:pos="1401"/>
        </w:tabs>
        <w:spacing w:line="276" w:lineRule="auto"/>
        <w:rPr>
          <w:lang w:val="en-US"/>
          <w:highlight w:val="yellow"/>
          <w:spacing w:val="-1"/>
        </w:rPr>
      </w:pPr>
      <w:r>
        <w:rPr>
          <w:lang w:val="en-US"/>
          <w:highlight w:val="yellow"/>
          <w:spacing w:val="-1"/>
        </w:rPr>
        <w:t>The total cost of par</w:t>
      </w:r>
      <w:r>
        <w:rPr>
          <w:lang w:val="en-US"/>
          <w:highlight w:val="yellow"/>
          <w:spacing w:val="-1"/>
        </w:rPr>
        <w:t>t</w:t>
      </w:r>
      <w:r>
        <w:rPr>
          <w:lang w:val="en-US"/>
          <w:highlight w:val="yellow"/>
          <w:spacing w:val="-1"/>
        </w:rPr>
        <w:t xml:space="preserve"> ‘A’ in all IBF CBAs concluded </w:t>
      </w:r>
      <w:r>
        <w:rPr>
          <w:lang w:val="en-US"/>
          <w:highlight w:val="yellow"/>
          <w:spacing w:val="-1"/>
        </w:rPr>
        <w:t xml:space="preserve">on local/national level shall be raised </w:t>
      </w:r>
      <w:r>
        <w:rPr>
          <w:lang w:val="en-US"/>
          <w:highlight w:val="yellow"/>
          <w:spacing w:val="-1"/>
        </w:rPr>
        <w:t xml:space="preserve">by </w:t>
      </w:r>
      <w:r>
        <w:rPr>
          <w:lang w:val="en-US"/>
          <w:b/>
          <w:bCs/>
          <w:highlight w:val="yellow"/>
          <w:spacing w:val="-1"/>
        </w:rPr>
        <w:t>4% with effect from 01 January 2024</w:t>
      </w:r>
      <w:r>
        <w:rPr>
          <w:lang w:val="en-US"/>
          <w:highlight w:val="yellow"/>
          <w:spacing w:val="-1"/>
        </w:rPr>
        <w:t xml:space="preserve"> and by a fu</w:t>
      </w:r>
      <w:r>
        <w:rPr>
          <w:lang w:val="en-US"/>
          <w:highlight w:val="yellow"/>
          <w:spacing w:val="-1"/>
        </w:rPr>
        <w:t>r</w:t>
      </w:r>
      <w:r>
        <w:rPr>
          <w:lang w:val="en-US"/>
          <w:highlight w:val="yellow"/>
          <w:spacing w:val="-1"/>
        </w:rPr>
        <w:t>t</w:t>
      </w:r>
      <w:r>
        <w:rPr>
          <w:lang w:val="en-US"/>
          <w:highlight w:val="yellow"/>
          <w:spacing w:val="-1"/>
        </w:rPr>
        <w:t>her</w:t>
      </w:r>
      <w:r>
        <w:rPr>
          <w:lang w:val="en-US"/>
          <w:highlight w:val="yellow"/>
          <w:spacing w:val="-1"/>
        </w:rPr>
        <w:t xml:space="preserve"> </w:t>
      </w:r>
      <w:r>
        <w:rPr>
          <w:lang w:val="en-US"/>
          <w:b/>
          <w:bCs/>
          <w:highlight w:val="yellow"/>
          <w:spacing w:val="-1"/>
        </w:rPr>
        <w:t>2% with effect from 01 January 2025</w:t>
      </w:r>
      <w:r>
        <w:rPr>
          <w:lang w:val="en-US"/>
          <w:highlight w:val="yellow"/>
          <w:spacing w:val="-1"/>
        </w:rPr>
        <w:t>.</w:t>
      </w:r>
    </w:p>
    <w:p>
      <w:pPr>
        <w:pStyle w:val="BodyText"/>
        <w:ind w:left="0" w:right="219"/>
        <w:kinsoku w:val="off"/>
        <w:overflowPunct w:val="off"/>
        <w:tabs>
          <w:tab w:val="left" w:pos="1401"/>
        </w:tabs>
        <w:spacing w:line="276" w:lineRule="auto"/>
        <w:rPr>
          <w:lang w:val="en-US"/>
          <w:highlight w:val="yellow"/>
          <w:spacing w:val="-1"/>
        </w:rPr>
      </w:pPr>
    </w:p>
    <w:p>
      <w:pPr>
        <w:pStyle w:val="BodyText"/>
        <w:ind w:right="219"/>
        <w:kinsoku w:val="off"/>
        <w:overflowPunct w:val="off"/>
        <w:numPr>
          <w:ilvl w:val="0"/>
          <w:numId w:val="3"/>
        </w:numPr>
        <w:tabs>
          <w:tab w:val="left" w:pos="1401"/>
        </w:tabs>
        <w:spacing w:line="276" w:lineRule="auto"/>
        <w:rPr>
          <w:lang w:val="en-US"/>
          <w:highlight w:val="yellow"/>
          <w:spacing w:val="-1"/>
        </w:rPr>
      </w:pPr>
      <w:r>
        <w:rPr>
          <w:lang w:val="en-US"/>
          <w:b/>
          <w:bCs/>
          <w:highlight w:val="yellow"/>
          <w:spacing w:val="-1"/>
        </w:rPr>
        <w:t>For the ITF rebate to the IBF Seafarers Support Fund:</w:t>
      </w:r>
    </w:p>
    <w:p>
      <w:pPr>
        <w:pStyle w:val="BodyText"/>
        <w:ind w:right="219"/>
        <w:kinsoku w:val="off"/>
        <w:overflowPunct w:val="off"/>
        <w:numPr>
          <w:ilvl w:val="1"/>
          <w:numId w:val="3"/>
        </w:numPr>
        <w:tabs>
          <w:tab w:val="left" w:pos="1401"/>
        </w:tabs>
        <w:spacing w:line="276" w:lineRule="auto"/>
        <w:rPr>
          <w:lang w:val="en-US"/>
          <w:b/>
          <w:bCs/>
          <w:highlight w:val="yellow"/>
          <w:spacing w:val="-1"/>
        </w:rPr>
      </w:pPr>
      <w:r>
        <w:rPr>
          <w:lang w:val="en-US"/>
          <w:highlight w:val="yellow"/>
          <w:spacing w:val="-1"/>
        </w:rPr>
        <w:t xml:space="preserve">As long as the number of IBF covered vessels </w:t>
      </w:r>
      <w:r>
        <w:rPr>
          <w:lang w:val="en-US"/>
          <w:highlight w:val="yellow"/>
          <w:spacing w:val="-1"/>
        </w:rPr>
        <w:t xml:space="preserve">does not decrease below 9469 vessels </w:t>
      </w:r>
      <w:r>
        <w:rPr>
          <w:lang w:val="en-US"/>
          <w:highlight w:val="yellow"/>
          <w:spacing w:val="-1"/>
        </w:rPr>
        <w:t xml:space="preserve">during each </w:t>
      </w:r>
      <w:r>
        <w:rPr>
          <w:lang w:val="en-US"/>
          <w:highlight w:val="yellow"/>
          <w:spacing w:val="-1"/>
        </w:rPr>
        <w:t>calendar</w:t>
      </w:r>
      <w:r>
        <w:rPr>
          <w:lang w:val="en-US"/>
          <w:highlight w:val="yellow"/>
          <w:spacing w:val="-1"/>
        </w:rPr>
        <w:t xml:space="preserve"> year of the settlement, t</w:t>
      </w:r>
      <w:r>
        <w:rPr>
          <w:lang w:val="en-US"/>
          <w:b/>
          <w:bCs/>
          <w:highlight w:val="yellow"/>
          <w:spacing w:val="-1"/>
        </w:rPr>
        <w:t xml:space="preserve">he ITF rebate to the IBF Seafarers Support Fund </w:t>
      </w:r>
      <w:r>
        <w:rPr>
          <w:lang w:val="en-US"/>
          <w:b/>
          <w:bCs/>
          <w:highlight w:val="yellow"/>
          <w:spacing w:val="-1"/>
        </w:rPr>
        <w:t xml:space="preserve">for that respective year </w:t>
      </w:r>
      <w:r>
        <w:rPr>
          <w:lang w:val="en-US"/>
          <w:b/>
          <w:bCs/>
          <w:highlight w:val="yellow"/>
          <w:spacing w:val="-1"/>
        </w:rPr>
        <w:t>shall be 20%</w:t>
      </w:r>
      <w:r>
        <w:rPr>
          <w:lang w:val="en-US"/>
          <w:b/>
          <w:bCs/>
          <w:highlight w:val="yellow"/>
          <w:spacing w:val="-1"/>
        </w:rPr>
        <w:t>.</w:t>
      </w:r>
    </w:p>
    <w:p>
      <w:pPr>
        <w:pStyle w:val="BodyText"/>
        <w:ind w:right="219"/>
        <w:kinsoku w:val="off"/>
        <w:overflowPunct w:val="off"/>
        <w:numPr>
          <w:ilvl w:val="1"/>
          <w:numId w:val="3"/>
        </w:numPr>
        <w:tabs>
          <w:tab w:val="left" w:pos="1401"/>
        </w:tabs>
        <w:spacing w:line="276" w:lineRule="auto"/>
        <w:rPr>
          <w:lang w:val="en-US"/>
          <w:spacing w:val="-1"/>
        </w:rPr>
      </w:pPr>
      <w:r>
        <w:rPr>
          <w:lang w:val="en-US"/>
          <w:spacing w:val="-1"/>
        </w:rPr>
        <w:t>If the number of IBF covered vessels decreases below 9469 vessels</w:t>
      </w:r>
      <w:r>
        <w:rPr>
          <w:lang w:val="en-US"/>
          <w:spacing w:val="-1"/>
        </w:rPr>
        <w:t xml:space="preserve"> in any calendar year of the settlement, the level of the rebate </w:t>
      </w:r>
      <w:r>
        <w:rPr>
          <w:lang w:val="en-US"/>
          <w:spacing w:val="-1"/>
        </w:rPr>
        <w:t>shall be reviewed</w:t>
      </w:r>
      <w:r>
        <w:rPr>
          <w:lang w:val="en-US"/>
          <w:spacing w:val="-1"/>
        </w:rPr>
        <w:t>.</w:t>
      </w:r>
    </w:p>
    <w:p>
      <w:pPr>
        <w:pStyle w:val="BodyText"/>
        <w:ind w:right="219"/>
        <w:kinsoku w:val="off"/>
        <w:overflowPunct w:val="off"/>
        <w:numPr>
          <w:ilvl w:val="1"/>
          <w:numId w:val="3"/>
        </w:numPr>
        <w:tabs>
          <w:tab w:val="left" w:pos="1401"/>
        </w:tabs>
        <w:spacing w:line="276" w:lineRule="auto"/>
        <w:rPr>
          <w:lang w:val="en-US"/>
          <w:spacing w:val="-1"/>
        </w:rPr>
      </w:pPr>
      <w:r>
        <w:rPr>
          <w:lang w:val="en-US"/>
          <w:spacing w:val="-1"/>
        </w:rPr>
        <w:t>O</w:t>
      </w:r>
      <w:r>
        <w:rPr>
          <w:lang w:val="en-US"/>
          <w:spacing w:val="-1"/>
        </w:rPr>
        <w:t xml:space="preserve">n </w:t>
      </w:r>
      <w:r>
        <w:rPr>
          <w:lang w:val="en-US"/>
          <w:spacing w:val="-1"/>
        </w:rPr>
        <w:t>the</w:t>
      </w:r>
      <w:r>
        <w:rPr>
          <w:lang w:val="en-US"/>
          <w:spacing w:val="-1"/>
        </w:rPr>
        <w:t xml:space="preserve"> condition that t</w:t>
      </w:r>
      <w:r>
        <w:rPr>
          <w:lang w:val="en-US"/>
          <w:spacing w:val="-1"/>
        </w:rPr>
        <w:t xml:space="preserve">here are no </w:t>
      </w:r>
      <w:r>
        <w:rPr>
          <w:lang w:val="en-US"/>
          <w:spacing w:val="-1"/>
        </w:rPr>
        <w:t>further claims</w:t>
      </w:r>
      <w:r>
        <w:rPr>
          <w:lang w:val="en-US"/>
          <w:spacing w:val="-1"/>
        </w:rPr>
        <w:t xml:space="preserve"> to increase the </w:t>
      </w:r>
      <w:r>
        <w:rPr>
          <w:lang w:val="en-US"/>
          <w:spacing w:val="-1"/>
        </w:rPr>
        <w:t>rebate level</w:t>
      </w:r>
      <w:r>
        <w:rPr>
          <w:lang w:val="en-US"/>
          <w:spacing w:val="-1"/>
        </w:rPr>
        <w:t xml:space="preserve"> </w:t>
      </w:r>
      <w:r>
        <w:rPr>
          <w:lang w:val="en-US"/>
          <w:spacing w:val="-1"/>
        </w:rPr>
        <w:t>before 31 December 2030.</w:t>
      </w:r>
    </w:p>
    <w:p>
      <w:pPr>
        <w:pStyle w:val="BodyText"/>
        <w:ind w:right="219"/>
        <w:kinsoku w:val="off"/>
        <w:overflowPunct w:val="off"/>
        <w:tabs>
          <w:tab w:val="left" w:pos="1401"/>
        </w:tabs>
        <w:spacing w:line="276" w:lineRule="auto"/>
        <w:rPr>
          <w:lang w:val="en-US"/>
          <w:spacing w:val="-1"/>
        </w:rPr>
      </w:pPr>
    </w:p>
    <w:p>
      <w:pPr>
        <w:pStyle w:val="BodyText"/>
        <w:ind w:left="0"/>
        <w:kinsoku w:val="off"/>
        <w:overflowPunct w:val="off"/>
        <w:spacing w:line="276" w:lineRule="auto"/>
        <w:rPr>
          <w:lang w:val="en-US"/>
          <w:spacing w:val="-1"/>
        </w:rPr>
      </w:pPr>
      <w:r>
        <w:rPr>
          <w:lang w:val="en-US"/>
          <w:spacing w:val="-1"/>
        </w:rPr>
        <w:t>Additionally,</w:t>
      </w:r>
      <w:r>
        <w:rPr>
          <w:lang w:val="en-US"/>
        </w:rPr>
        <w:t xml:space="preserve"> the </w:t>
      </w:r>
      <w:r>
        <w:rPr>
          <w:lang w:val="en-US"/>
          <w:spacing w:val="-1"/>
        </w:rPr>
        <w:t>IBF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constituents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agree</w:t>
      </w:r>
      <w:r>
        <w:rPr>
          <w:lang w:val="en-US"/>
        </w:rPr>
        <w:t xml:space="preserve"> to </w:t>
      </w:r>
      <w:r>
        <w:rPr>
          <w:lang w:val="en-US"/>
          <w:spacing w:val="-1"/>
        </w:rPr>
        <w:t>retain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the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following principles:</w:t>
      </w:r>
    </w:p>
    <w:p>
      <w:pPr>
        <w:pStyle w:val="BodyText"/>
        <w:ind w:left="0"/>
        <w:kinsoku w:val="off"/>
        <w:overflowPunct w:val="off"/>
        <w:spacing w:line="276" w:lineRule="auto"/>
        <w:rPr>
          <w:lang w:val="en-US"/>
          <w:sz w:val="19"/>
          <w:szCs w:val="19"/>
        </w:rPr>
      </w:pPr>
    </w:p>
    <w:p>
      <w:pPr>
        <w:pStyle w:val="BodyText"/>
        <w:ind w:left="1134" w:right="403" w:hanging="425"/>
        <w:kinsoku w:val="off"/>
        <w:overflowPunct w:val="off"/>
        <w:numPr>
          <w:ilvl w:val="0"/>
          <w:numId w:val="4"/>
        </w:numPr>
        <w:tabs>
          <w:tab w:val="left" w:pos="1134"/>
        </w:tabs>
        <w:spacing w:line="276" w:lineRule="auto"/>
        <w:rPr>
          <w:lang w:val="en-US"/>
          <w:rFonts w:eastAsia="Arial Unicode MS"/>
        </w:rPr>
      </w:pPr>
      <w:r>
        <w:rPr>
          <w:lang w:val="en-US"/>
          <w:spacing w:val="-1"/>
        </w:rPr>
        <w:t>The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local/nationally-negotiated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agreements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will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require</w:t>
      </w:r>
      <w:r>
        <w:rPr>
          <w:lang w:val="en-US"/>
          <w:spacing w:val="5"/>
        </w:rPr>
        <w:t xml:space="preserve"> </w:t>
      </w:r>
      <w:r>
        <w:rPr>
          <w:lang w:val="en-US"/>
          <w:spacing w:val="-1"/>
        </w:rPr>
        <w:t>approval</w:t>
      </w:r>
      <w:r>
        <w:rPr>
          <w:lang w:val="en-US"/>
        </w:rPr>
        <w:t xml:space="preserve"> b</w:t>
      </w:r>
      <w:r>
        <w:rPr>
          <w:lang w:val="en-US"/>
        </w:rPr>
        <w:t xml:space="preserve">y </w:t>
      </w:r>
      <w:r>
        <w:rPr>
          <w:lang w:val="en-US"/>
        </w:rPr>
        <w:t>each</w:t>
      </w:r>
      <w:r>
        <w:rPr>
          <w:lang w:val="en-US"/>
          <w:spacing w:val="-2"/>
        </w:rPr>
        <w:t xml:space="preserve"> </w:t>
      </w:r>
      <w:r>
        <w:rPr>
          <w:lang w:val="en-US"/>
          <w:spacing w:val="-2"/>
        </w:rPr>
        <w:t>p</w:t>
      </w:r>
      <w:r>
        <w:rPr>
          <w:lang w:val="en-US"/>
          <w:spacing w:val="-1"/>
        </w:rPr>
        <w:t>artner</w:t>
      </w:r>
      <w:r>
        <w:rPr>
          <w:lang w:val="en-US"/>
          <w:spacing w:val="-1"/>
        </w:rPr>
        <w:t>’</w:t>
      </w:r>
      <w:r>
        <w:rPr>
          <w:lang w:val="en-US"/>
          <w:rFonts w:eastAsia="Arial Unicode MS"/>
          <w:spacing w:val="-1"/>
        </w:rPr>
        <w:t>s</w:t>
      </w:r>
      <w:r>
        <w:rPr>
          <w:lang w:val="en-US"/>
          <w:rFonts w:eastAsia="Arial Unicode MS"/>
        </w:rPr>
        <w:t xml:space="preserve"> policy</w:t>
      </w:r>
      <w:r>
        <w:rPr>
          <w:lang w:val="en-US"/>
          <w:rFonts w:eastAsia="Arial Unicode MS"/>
          <w:spacing w:val="-3"/>
        </w:rPr>
        <w:t xml:space="preserve"> </w:t>
      </w:r>
      <w:r>
        <w:rPr>
          <w:lang w:val="en-US"/>
          <w:rFonts w:eastAsia="Arial Unicode MS"/>
        </w:rPr>
        <w:t>bodies.</w:t>
      </w:r>
    </w:p>
    <w:p>
      <w:pPr>
        <w:pStyle w:val="BodyText"/>
        <w:ind w:left="1134" w:hanging="425"/>
        <w:kinsoku w:val="off"/>
        <w:overflowPunct w:val="off"/>
        <w:tabs>
          <w:tab w:val="left" w:pos="1134"/>
        </w:tabs>
        <w:spacing w:line="276" w:lineRule="auto"/>
        <w:rPr>
          <w:lang w:val="en-US"/>
          <w:sz w:val="20"/>
          <w:szCs w:val="20"/>
        </w:rPr>
      </w:pPr>
    </w:p>
    <w:p>
      <w:pPr>
        <w:pStyle w:val="BodyText"/>
        <w:ind w:left="1134" w:right="331" w:hanging="425"/>
        <w:kinsoku w:val="off"/>
        <w:overflowPunct w:val="off"/>
        <w:numPr>
          <w:ilvl w:val="0"/>
          <w:numId w:val="4"/>
        </w:numPr>
        <w:tabs>
          <w:tab w:val="left" w:pos="1134"/>
        </w:tabs>
        <w:spacing w:line="276" w:lineRule="auto"/>
        <w:rPr>
          <w:lang w:val="en-US"/>
          <w:spacing w:val="-1"/>
        </w:rPr>
      </w:pPr>
      <w:r>
        <w:rPr>
          <w:lang w:val="en-US"/>
        </w:rPr>
        <w:t>Both</w:t>
      </w:r>
      <w:r>
        <w:rPr>
          <w:lang w:val="en-US"/>
          <w:spacing w:val="-1"/>
        </w:rPr>
        <w:t xml:space="preserve"> </w:t>
      </w:r>
      <w:r>
        <w:rPr>
          <w:lang w:val="en-US"/>
        </w:rPr>
        <w:t>parties</w:t>
      </w:r>
      <w:r>
        <w:rPr>
          <w:lang w:val="en-US"/>
          <w:spacing w:val="-3"/>
        </w:rPr>
        <w:t xml:space="preserve"> </w:t>
      </w:r>
      <w:r>
        <w:rPr>
          <w:lang w:val="en-US"/>
          <w:spacing w:val="-1"/>
        </w:rPr>
        <w:t>reserve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the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right</w:t>
      </w:r>
      <w:r>
        <w:rPr>
          <w:lang w:val="en-US"/>
        </w:rPr>
        <w:t xml:space="preserve"> to</w:t>
      </w:r>
      <w:r>
        <w:rPr>
          <w:lang w:val="en-US"/>
          <w:spacing w:val="1"/>
        </w:rPr>
        <w:t xml:space="preserve"> </w:t>
      </w:r>
      <w:r>
        <w:rPr>
          <w:lang w:val="en-US"/>
          <w:spacing w:val="-1"/>
        </w:rPr>
        <w:t>include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observers</w:t>
      </w:r>
      <w:r>
        <w:rPr>
          <w:lang w:val="en-US"/>
        </w:rPr>
        <w:t xml:space="preserve"> of</w:t>
      </w:r>
      <w:r>
        <w:rPr>
          <w:lang w:val="en-US"/>
          <w:spacing w:val="3"/>
        </w:rPr>
        <w:t xml:space="preserve"> </w:t>
      </w:r>
      <w:r>
        <w:rPr>
          <w:lang w:val="en-US"/>
          <w:spacing w:val="-1"/>
        </w:rPr>
        <w:t>the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Secretariat</w:t>
      </w:r>
      <w:r>
        <w:rPr>
          <w:lang w:val="en-US"/>
          <w:spacing w:val="43"/>
        </w:rPr>
        <w:t xml:space="preserve"> </w:t>
      </w:r>
      <w:r>
        <w:rPr>
          <w:lang w:val="en-US"/>
        </w:rPr>
        <w:t xml:space="preserve">at </w:t>
      </w:r>
      <w:r>
        <w:rPr>
          <w:lang w:val="en-US"/>
          <w:spacing w:val="-1"/>
        </w:rPr>
        <w:t>any</w:t>
      </w:r>
      <w:r>
        <w:rPr>
          <w:lang w:val="en-US"/>
          <w:spacing w:val="-3"/>
        </w:rPr>
        <w:t xml:space="preserve"> </w:t>
      </w:r>
      <w:r>
        <w:rPr>
          <w:lang w:val="en-US"/>
          <w:spacing w:val="-1"/>
        </w:rPr>
        <w:t>local/national</w:t>
      </w:r>
      <w:r>
        <w:rPr>
          <w:lang w:val="en-US"/>
          <w:spacing w:val="-3"/>
        </w:rPr>
        <w:t xml:space="preserve"> </w:t>
      </w:r>
      <w:r>
        <w:rPr>
          <w:lang w:val="en-US"/>
          <w:spacing w:val="-1"/>
        </w:rPr>
        <w:t>negotiations.</w:t>
      </w:r>
    </w:p>
    <w:p>
      <w:pPr>
        <w:pStyle w:val="BodyText"/>
        <w:ind w:left="1134" w:hanging="425"/>
        <w:kinsoku w:val="off"/>
        <w:overflowPunct w:val="off"/>
        <w:tabs>
          <w:tab w:val="left" w:pos="1134"/>
        </w:tabs>
        <w:spacing w:line="276" w:lineRule="auto"/>
        <w:rPr>
          <w:lang w:val="en-US"/>
          <w:sz w:val="20"/>
          <w:szCs w:val="20"/>
        </w:rPr>
      </w:pPr>
    </w:p>
    <w:p>
      <w:pPr>
        <w:pStyle w:val="BodyText"/>
        <w:ind w:left="1134" w:right="263" w:hanging="425"/>
        <w:kinsoku w:val="off"/>
        <w:overflowPunct w:val="off"/>
        <w:numPr>
          <w:ilvl w:val="0"/>
          <w:numId w:val="4"/>
        </w:numPr>
        <w:tabs>
          <w:tab w:val="left" w:pos="1134"/>
        </w:tabs>
        <w:spacing w:line="276" w:lineRule="auto"/>
        <w:rPr>
          <w:lang w:val="en-US"/>
          <w:spacing w:val="-1"/>
        </w:rPr>
      </w:pPr>
      <w:r>
        <w:rPr>
          <w:lang w:val="en-US"/>
          <w:spacing w:val="-1"/>
        </w:rPr>
        <w:t>The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intent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of</w:t>
      </w:r>
      <w:r>
        <w:rPr>
          <w:lang w:val="en-US"/>
        </w:rPr>
        <w:t xml:space="preserve"> all</w:t>
      </w:r>
      <w:r>
        <w:rPr>
          <w:lang w:val="en-US"/>
          <w:spacing w:val="-1"/>
        </w:rPr>
        <w:t xml:space="preserve"> articles</w:t>
      </w:r>
      <w:r>
        <w:rPr>
          <w:lang w:val="en-US"/>
        </w:rPr>
        <w:t xml:space="preserve"> and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appendices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of</w:t>
      </w:r>
      <w:r>
        <w:rPr>
          <w:lang w:val="en-US"/>
          <w:spacing w:val="2"/>
        </w:rPr>
        <w:t xml:space="preserve"> </w:t>
      </w:r>
      <w:r>
        <w:rPr>
          <w:lang w:val="en-US"/>
          <w:spacing w:val="-2"/>
        </w:rPr>
        <w:t>the</w:t>
      </w:r>
      <w:r>
        <w:rPr>
          <w:lang w:val="en-US"/>
        </w:rPr>
        <w:t xml:space="preserve"> IBF </w:t>
      </w:r>
      <w:r>
        <w:rPr>
          <w:lang w:val="en-US"/>
          <w:spacing w:val="-1"/>
        </w:rPr>
        <w:t>Framework Agreement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shall</w:t>
      </w:r>
      <w:r>
        <w:rPr>
          <w:lang w:val="en-US"/>
          <w:spacing w:val="-2"/>
        </w:rPr>
        <w:t xml:space="preserve"> </w:t>
      </w:r>
      <w:r>
        <w:rPr>
          <w:lang w:val="en-US"/>
        </w:rPr>
        <w:t>be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incorporated</w:t>
      </w:r>
      <w:r>
        <w:rPr>
          <w:lang w:val="en-US"/>
        </w:rPr>
        <w:t xml:space="preserve"> </w:t>
      </w:r>
      <w:r>
        <w:rPr>
          <w:lang w:val="en-US"/>
          <w:spacing w:val="-2"/>
        </w:rPr>
        <w:t>in</w:t>
      </w:r>
      <w:r>
        <w:rPr>
          <w:lang w:val="en-US"/>
          <w:spacing w:val="5"/>
        </w:rPr>
        <w:t xml:space="preserve"> </w:t>
      </w:r>
      <w:r>
        <w:rPr>
          <w:lang w:val="en-US"/>
          <w:spacing w:val="-1"/>
        </w:rPr>
        <w:t>any</w:t>
      </w:r>
      <w:r>
        <w:rPr>
          <w:lang w:val="en-US"/>
          <w:spacing w:val="-3"/>
        </w:rPr>
        <w:t xml:space="preserve"> </w:t>
      </w:r>
      <w:r>
        <w:rPr>
          <w:lang w:val="en-US"/>
        </w:rPr>
        <w:t>CBA</w:t>
      </w:r>
      <w:r>
        <w:rPr>
          <w:lang w:val="en-US"/>
          <w:spacing w:val="1"/>
        </w:rPr>
        <w:t xml:space="preserve"> </w:t>
      </w:r>
      <w:r>
        <w:rPr>
          <w:lang w:val="en-US"/>
          <w:spacing w:val="-1"/>
        </w:rPr>
        <w:t>established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through</w:t>
      </w:r>
      <w:r>
        <w:rPr>
          <w:lang w:val="en-US"/>
          <w:spacing w:val="67"/>
        </w:rPr>
        <w:t xml:space="preserve"> </w:t>
      </w:r>
      <w:r>
        <w:rPr>
          <w:lang w:val="en-US"/>
          <w:spacing w:val="-1"/>
        </w:rPr>
        <w:t>local/national</w:t>
      </w:r>
      <w:r>
        <w:rPr>
          <w:lang w:val="en-US"/>
          <w:spacing w:val="-3"/>
        </w:rPr>
        <w:t xml:space="preserve"> </w:t>
      </w:r>
      <w:r>
        <w:rPr>
          <w:lang w:val="en-US"/>
          <w:spacing w:val="-1"/>
        </w:rPr>
        <w:t>negotiations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between</w:t>
      </w:r>
      <w:r>
        <w:rPr>
          <w:lang w:val="en-US"/>
        </w:rPr>
        <w:t xml:space="preserve"> JNG</w:t>
      </w:r>
      <w:r>
        <w:rPr>
          <w:lang w:val="en-US"/>
          <w:spacing w:val="-2"/>
        </w:rPr>
        <w:t xml:space="preserve"> </w:t>
      </w:r>
      <w:r>
        <w:rPr>
          <w:lang w:val="en-US"/>
        </w:rPr>
        <w:t>members</w:t>
      </w:r>
      <w:r>
        <w:rPr>
          <w:lang w:val="en-US"/>
          <w:spacing w:val="-3"/>
        </w:rPr>
        <w:t xml:space="preserve"> </w:t>
      </w:r>
      <w:r>
        <w:rPr>
          <w:lang w:val="en-US"/>
          <w:spacing w:val="-1"/>
        </w:rPr>
        <w:t>and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ITF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affiliates.</w:t>
      </w:r>
    </w:p>
    <w:p>
      <w:pPr>
        <w:pStyle w:val="BodyText"/>
        <w:ind w:left="1134" w:hanging="425"/>
        <w:kinsoku w:val="off"/>
        <w:overflowPunct w:val="off"/>
        <w:tabs>
          <w:tab w:val="left" w:pos="1134"/>
        </w:tabs>
        <w:spacing w:line="276" w:lineRule="auto"/>
        <w:rPr>
          <w:lang w:val="en-US"/>
          <w:sz w:val="20"/>
          <w:szCs w:val="20"/>
        </w:rPr>
      </w:pPr>
    </w:p>
    <w:p>
      <w:pPr>
        <w:pStyle w:val="BodyText"/>
        <w:ind w:left="1134" w:right="268" w:hanging="425"/>
        <w:kinsoku w:val="off"/>
        <w:overflowPunct w:val="off"/>
        <w:numPr>
          <w:ilvl w:val="0"/>
          <w:numId w:val="4"/>
        </w:numPr>
        <w:spacing w:line="276" w:lineRule="auto"/>
        <w:rPr>
          <w:lang w:val="en-US"/>
          <w:spacing w:val="-1"/>
        </w:rPr>
      </w:pPr>
      <w:r>
        <w:rPr>
          <w:lang w:val="en-US"/>
        </w:rPr>
        <w:t>The</w:t>
      </w:r>
      <w:r>
        <w:rPr>
          <w:lang w:val="en-US"/>
          <w:spacing w:val="-1"/>
        </w:rPr>
        <w:t xml:space="preserve"> death </w:t>
      </w:r>
      <w:r>
        <w:rPr>
          <w:lang w:val="en-US"/>
        </w:rPr>
        <w:t>and</w:t>
      </w:r>
      <w:r>
        <w:rPr>
          <w:lang w:val="en-US"/>
          <w:spacing w:val="-4"/>
        </w:rPr>
        <w:t xml:space="preserve"> </w:t>
      </w:r>
      <w:r>
        <w:rPr>
          <w:lang w:val="en-US"/>
        </w:rPr>
        <w:t>disability</w:t>
      </w:r>
      <w:r>
        <w:rPr>
          <w:lang w:val="en-US"/>
          <w:spacing w:val="-3"/>
        </w:rPr>
        <w:t xml:space="preserve"> </w:t>
      </w:r>
      <w:r>
        <w:rPr>
          <w:lang w:val="en-US"/>
          <w:spacing w:val="-1"/>
        </w:rPr>
        <w:t>compensation</w:t>
      </w:r>
      <w:r>
        <w:rPr>
          <w:lang w:val="en-US"/>
        </w:rPr>
        <w:t xml:space="preserve"> in </w:t>
      </w:r>
      <w:r>
        <w:rPr>
          <w:lang w:val="en-US"/>
          <w:spacing w:val="-1"/>
        </w:rPr>
        <w:t>the</w:t>
      </w:r>
      <w:r>
        <w:rPr>
          <w:lang w:val="en-US"/>
        </w:rPr>
        <w:t xml:space="preserve"> </w:t>
      </w:r>
      <w:r>
        <w:rPr>
          <w:lang w:val="en-US"/>
        </w:rPr>
        <w:t xml:space="preserve">IBF </w:t>
      </w:r>
      <w:r>
        <w:rPr>
          <w:lang w:val="en-US"/>
          <w:spacing w:val="-1"/>
        </w:rPr>
        <w:t>Framework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Agreement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remains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indexed</w:t>
      </w:r>
      <w:r>
        <w:rPr>
          <w:lang w:val="en-US"/>
        </w:rPr>
        <w:t xml:space="preserve"> to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the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percentage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of</w:t>
      </w:r>
      <w:r>
        <w:rPr>
          <w:lang w:val="en-US"/>
        </w:rPr>
        <w:t xml:space="preserve"> the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current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and</w:t>
      </w:r>
      <w:r>
        <w:rPr>
          <w:lang w:val="en-US"/>
          <w:spacing w:val="55"/>
        </w:rPr>
        <w:t xml:space="preserve"> </w:t>
      </w:r>
      <w:r>
        <w:rPr>
          <w:lang w:val="en-US"/>
        </w:rPr>
        <w:t xml:space="preserve">future </w:t>
      </w:r>
      <w:r>
        <w:rPr>
          <w:lang w:val="en-US"/>
          <w:spacing w:val="-1"/>
        </w:rPr>
        <w:t>increases</w:t>
      </w:r>
      <w:r>
        <w:rPr>
          <w:lang w:val="en-US"/>
          <w:spacing w:val="-3"/>
        </w:rPr>
        <w:t xml:space="preserve"> </w:t>
      </w:r>
      <w:r>
        <w:rPr>
          <w:lang w:val="en-US"/>
          <w:spacing w:val="-1"/>
        </w:rPr>
        <w:t>that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may</w:t>
      </w:r>
      <w:r>
        <w:rPr>
          <w:lang w:val="en-US"/>
          <w:spacing w:val="-3"/>
        </w:rPr>
        <w:t xml:space="preserve"> </w:t>
      </w:r>
      <w:r>
        <w:rPr>
          <w:lang w:val="en-US"/>
        </w:rPr>
        <w:t xml:space="preserve">be </w:t>
      </w:r>
      <w:r>
        <w:rPr>
          <w:lang w:val="en-US"/>
          <w:spacing w:val="-1"/>
        </w:rPr>
        <w:t>agreed</w:t>
      </w:r>
      <w:r>
        <w:rPr>
          <w:lang w:val="en-US"/>
          <w:spacing w:val="-2"/>
        </w:rPr>
        <w:t xml:space="preserve"> </w:t>
      </w:r>
      <w:r>
        <w:rPr>
          <w:lang w:val="en-US"/>
        </w:rPr>
        <w:t>by</w:t>
      </w:r>
      <w:r>
        <w:rPr>
          <w:lang w:val="en-US"/>
          <w:spacing w:val="-3"/>
        </w:rPr>
        <w:t xml:space="preserve"> </w:t>
      </w:r>
      <w:r>
        <w:rPr>
          <w:lang w:val="en-US"/>
        </w:rPr>
        <w:t xml:space="preserve">the </w:t>
      </w:r>
      <w:r>
        <w:rPr>
          <w:lang w:val="en-US"/>
          <w:spacing w:val="-1"/>
        </w:rPr>
        <w:t>IBF.</w:t>
      </w:r>
    </w:p>
    <w:p>
      <w:pPr>
        <w:pStyle w:val="BodyText"/>
        <w:ind w:left="0" w:right="268"/>
        <w:kinsoku w:val="off"/>
        <w:overflowPunct w:val="off"/>
        <w:spacing w:line="276" w:lineRule="auto"/>
        <w:rPr>
          <w:lang w:val="en-US"/>
          <w:spacing w:val="-1"/>
        </w:rPr>
      </w:pPr>
    </w:p>
    <w:p>
      <w:pPr>
        <w:ind w:right="188"/>
        <w:kinsoku w:val="off"/>
        <w:overflowPunct w:val="off"/>
        <w:shd w:val="clear" w:color="auto" w:fill="FFFFFF" w:themeFill="background1"/>
        <w:spacing w:line="276" w:lineRule="auto"/>
        <w:rPr>
          <w:lang w:val="en-US"/>
          <w:rFonts w:ascii="Arial" w:hAnsi="Arial" w:cs="Arial"/>
          <w:spacing w:val="-1"/>
        </w:rPr>
      </w:pPr>
      <w:r>
        <w:rPr>
          <w:lang w:val="en-US"/>
          <w:rFonts w:ascii="Arial" w:hAnsi="Arial" w:cs="Arial"/>
          <w:spacing w:val="-1"/>
        </w:rPr>
        <w:t>The</w:t>
      </w:r>
      <w:r>
        <w:rPr>
          <w:lang w:val="en-US"/>
          <w:rFonts w:ascii="Arial" w:hAnsi="Arial" w:cs="Arial"/>
        </w:rPr>
        <w:t xml:space="preserve"> IBF</w:t>
      </w:r>
      <w:r>
        <w:rPr>
          <w:lang w:val="en-US"/>
          <w:rFonts w:ascii="Arial" w:hAnsi="Arial" w:cs="Arial"/>
          <w:spacing w:val="-3"/>
        </w:rPr>
        <w:t xml:space="preserve"> </w:t>
      </w:r>
      <w:r>
        <w:rPr>
          <w:lang w:val="en-US"/>
          <w:rFonts w:ascii="Arial" w:hAnsi="Arial" w:cs="Arial"/>
          <w:spacing w:val="-1"/>
        </w:rPr>
        <w:t>recommends</w:t>
      </w:r>
      <w:r>
        <w:rPr>
          <w:lang w:val="en-US"/>
          <w:rFonts w:ascii="Arial" w:hAnsi="Arial" w:cs="Arial"/>
        </w:rPr>
        <w:t xml:space="preserve"> </w:t>
      </w:r>
      <w:r>
        <w:rPr>
          <w:lang w:val="en-US"/>
          <w:rFonts w:ascii="Arial" w:hAnsi="Arial" w:cs="Arial"/>
          <w:spacing w:val="-1"/>
        </w:rPr>
        <w:t>to</w:t>
      </w:r>
      <w:r>
        <w:rPr>
          <w:lang w:val="en-US"/>
          <w:rFonts w:ascii="Arial" w:hAnsi="Arial" w:cs="Arial"/>
        </w:rPr>
        <w:t xml:space="preserve"> </w:t>
      </w:r>
      <w:r>
        <w:rPr>
          <w:lang w:val="en-US"/>
          <w:rFonts w:ascii="Arial" w:hAnsi="Arial" w:cs="Arial"/>
          <w:spacing w:val="-1"/>
        </w:rPr>
        <w:t>the</w:t>
      </w:r>
      <w:r>
        <w:rPr>
          <w:lang w:val="en-US"/>
          <w:rFonts w:ascii="Arial" w:hAnsi="Arial" w:cs="Arial"/>
        </w:rPr>
        <w:t xml:space="preserve"> </w:t>
      </w:r>
      <w:r>
        <w:rPr>
          <w:lang w:val="en-US"/>
          <w:rFonts w:ascii="Arial" w:hAnsi="Arial" w:cs="Arial"/>
          <w:spacing w:val="-1"/>
        </w:rPr>
        <w:t>respective</w:t>
      </w:r>
      <w:r>
        <w:rPr>
          <w:lang w:val="en-US"/>
          <w:rFonts w:ascii="Arial" w:hAnsi="Arial" w:cs="Arial"/>
        </w:rPr>
        <w:t xml:space="preserve"> </w:t>
      </w:r>
      <w:r>
        <w:rPr>
          <w:lang w:val="en-US"/>
          <w:rFonts w:ascii="Arial" w:hAnsi="Arial" w:cs="Arial"/>
          <w:spacing w:val="-1"/>
        </w:rPr>
        <w:t>memberships</w:t>
      </w:r>
      <w:r>
        <w:rPr>
          <w:lang w:val="en-US"/>
          <w:rFonts w:ascii="Arial" w:hAnsi="Arial" w:cs="Arial"/>
        </w:rPr>
        <w:t xml:space="preserve"> </w:t>
      </w:r>
      <w:r>
        <w:rPr>
          <w:lang w:val="en-US"/>
          <w:rFonts w:ascii="Arial" w:hAnsi="Arial" w:cs="Arial"/>
          <w:spacing w:val="-1"/>
        </w:rPr>
        <w:t>of</w:t>
      </w:r>
      <w:r>
        <w:rPr>
          <w:lang w:val="en-US"/>
          <w:rFonts w:ascii="Arial" w:hAnsi="Arial" w:cs="Arial"/>
        </w:rPr>
        <w:t xml:space="preserve"> </w:t>
      </w:r>
      <w:r>
        <w:rPr>
          <w:lang w:val="en-US"/>
          <w:rFonts w:ascii="Arial" w:hAnsi="Arial" w:cs="Arial"/>
          <w:spacing w:val="-1"/>
        </w:rPr>
        <w:t>the</w:t>
      </w:r>
      <w:r>
        <w:rPr>
          <w:lang w:val="en-US"/>
          <w:rFonts w:ascii="Arial" w:hAnsi="Arial" w:cs="Arial"/>
        </w:rPr>
        <w:t xml:space="preserve"> </w:t>
      </w:r>
      <w:r>
        <w:rPr>
          <w:lang w:val="en-US"/>
          <w:rFonts w:ascii="Arial" w:hAnsi="Arial" w:cs="Arial"/>
          <w:spacing w:val="-1"/>
        </w:rPr>
        <w:t>ITF</w:t>
      </w:r>
      <w:r>
        <w:rPr>
          <w:lang w:val="en-US"/>
          <w:rFonts w:ascii="Arial" w:hAnsi="Arial" w:cs="Arial"/>
        </w:rPr>
        <w:t xml:space="preserve"> </w:t>
      </w:r>
      <w:r>
        <w:rPr>
          <w:lang w:val="en-US"/>
          <w:rFonts w:ascii="Arial" w:hAnsi="Arial" w:cs="Arial"/>
          <w:spacing w:val="-1"/>
        </w:rPr>
        <w:t>and</w:t>
      </w:r>
      <w:r>
        <w:rPr>
          <w:lang w:val="en-US"/>
          <w:rFonts w:ascii="Arial" w:hAnsi="Arial" w:cs="Arial"/>
          <w:spacing w:val="-2"/>
        </w:rPr>
        <w:t xml:space="preserve"> </w:t>
      </w:r>
      <w:r>
        <w:rPr>
          <w:lang w:val="en-US"/>
          <w:rFonts w:ascii="Arial" w:hAnsi="Arial" w:cs="Arial"/>
        </w:rPr>
        <w:t>the JNG the</w:t>
      </w:r>
      <w:r>
        <w:rPr>
          <w:lang w:val="en-US"/>
          <w:rFonts w:ascii="Arial" w:hAnsi="Arial" w:cs="Arial"/>
          <w:spacing w:val="-2"/>
        </w:rPr>
        <w:t xml:space="preserve"> </w:t>
      </w:r>
      <w:r>
        <w:rPr>
          <w:lang w:val="en-US"/>
          <w:rFonts w:ascii="Arial" w:hAnsi="Arial" w:cs="Arial"/>
          <w:spacing w:val="-1"/>
        </w:rPr>
        <w:t>adoption</w:t>
      </w:r>
      <w:r>
        <w:rPr>
          <w:lang w:val="en-US"/>
          <w:rFonts w:ascii="Arial" w:hAnsi="Arial" w:cs="Arial"/>
        </w:rPr>
        <w:t xml:space="preserve"> </w:t>
      </w:r>
      <w:r>
        <w:rPr>
          <w:lang w:val="en-US"/>
          <w:rFonts w:ascii="Arial" w:hAnsi="Arial" w:cs="Arial"/>
          <w:spacing w:val="-1"/>
        </w:rPr>
        <w:t>of</w:t>
      </w:r>
      <w:r>
        <w:rPr>
          <w:lang w:val="en-US"/>
          <w:rFonts w:ascii="Arial" w:hAnsi="Arial" w:cs="Arial"/>
        </w:rPr>
        <w:t xml:space="preserve"> </w:t>
      </w:r>
      <w:r>
        <w:rPr>
          <w:lang w:val="en-US"/>
          <w:rFonts w:ascii="Arial" w:hAnsi="Arial" w:cs="Arial"/>
          <w:spacing w:val="-1"/>
        </w:rPr>
        <w:t>the</w:t>
      </w:r>
      <w:r>
        <w:rPr>
          <w:lang w:val="en-US"/>
          <w:rFonts w:ascii="Arial" w:hAnsi="Arial" w:cs="Arial"/>
        </w:rPr>
        <w:t xml:space="preserve"> IBF </w:t>
      </w:r>
      <w:r>
        <w:rPr>
          <w:lang w:val="en-US"/>
          <w:rFonts w:ascii="Arial" w:hAnsi="Arial" w:cs="Arial"/>
          <w:spacing w:val="-1"/>
        </w:rPr>
        <w:t>Agreement,</w:t>
      </w:r>
      <w:r>
        <w:rPr>
          <w:lang w:val="en-US"/>
          <w:rFonts w:ascii="Arial" w:hAnsi="Arial" w:cs="Arial"/>
        </w:rPr>
        <w:t xml:space="preserve"> as</w:t>
      </w:r>
      <w:r>
        <w:rPr>
          <w:lang w:val="en-US"/>
          <w:rFonts w:ascii="Arial" w:hAnsi="Arial" w:cs="Arial"/>
          <w:spacing w:val="-3"/>
        </w:rPr>
        <w:t xml:space="preserve"> </w:t>
      </w:r>
      <w:r>
        <w:rPr>
          <w:lang w:val="en-US"/>
          <w:rFonts w:ascii="Arial" w:hAnsi="Arial" w:cs="Arial"/>
          <w:spacing w:val="-1"/>
        </w:rPr>
        <w:t>amended, on the following conditions:</w:t>
      </w:r>
    </w:p>
    <w:p>
      <w:pPr>
        <w:pStyle w:val="BodyText"/>
        <w:ind w:left="0"/>
        <w:kinsoku w:val="off"/>
        <w:overflowPunct w:val="off"/>
        <w:spacing w:line="276" w:lineRule="auto"/>
        <w:rPr>
          <w:lang w:val="en-US"/>
        </w:rPr>
      </w:pPr>
    </w:p>
    <w:p>
      <w:pPr>
        <w:pStyle w:val="BodyText"/>
        <w:ind w:left="0" w:right="550"/>
        <w:kinsoku w:val="off"/>
        <w:overflowPunct w:val="off"/>
        <w:spacing w:line="276" w:lineRule="auto"/>
        <w:rPr>
          <w:lang w:val="en-US"/>
          <w:spacing w:val="-1"/>
        </w:rPr>
      </w:pPr>
      <w:r>
        <w:rPr>
          <w:lang w:val="en-US"/>
        </w:rPr>
        <w:t xml:space="preserve">This </w:t>
      </w:r>
      <w:r>
        <w:rPr>
          <w:lang w:val="en-US"/>
          <w:spacing w:val="-1"/>
        </w:rPr>
        <w:t>IBF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Agreement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only</w:t>
      </w:r>
      <w:r>
        <w:rPr>
          <w:lang w:val="en-US"/>
          <w:spacing w:val="-3"/>
        </w:rPr>
        <w:t xml:space="preserve"> </w:t>
      </w:r>
      <w:r>
        <w:rPr>
          <w:lang w:val="en-US"/>
        </w:rPr>
        <w:t>applies to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members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of</w:t>
      </w:r>
      <w:r>
        <w:rPr>
          <w:lang w:val="en-US"/>
          <w:spacing w:val="2"/>
        </w:rPr>
        <w:t xml:space="preserve"> </w:t>
      </w:r>
      <w:r>
        <w:rPr>
          <w:lang w:val="en-US"/>
          <w:spacing w:val="-1"/>
        </w:rPr>
        <w:t>the</w:t>
      </w:r>
      <w:r>
        <w:rPr>
          <w:lang w:val="en-US"/>
        </w:rPr>
        <w:t xml:space="preserve"> </w:t>
      </w:r>
      <w:r>
        <w:rPr>
          <w:lang w:val="en-US"/>
          <w:spacing w:val="1"/>
        </w:rPr>
        <w:t>IBF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and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to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ships</w:t>
      </w:r>
      <w:r>
        <w:rPr>
          <w:lang w:val="en-US"/>
          <w:spacing w:val="33"/>
        </w:rPr>
        <w:t xml:space="preserve"> </w:t>
      </w:r>
      <w:r>
        <w:rPr>
          <w:lang w:val="en-US"/>
          <w:spacing w:val="-1"/>
        </w:rPr>
        <w:t>operated</w:t>
      </w:r>
      <w:r>
        <w:rPr>
          <w:lang w:val="en-US"/>
          <w:spacing w:val="-2"/>
        </w:rPr>
        <w:t xml:space="preserve"> </w:t>
      </w:r>
      <w:r>
        <w:rPr>
          <w:lang w:val="en-US"/>
        </w:rPr>
        <w:t>by</w:t>
      </w:r>
      <w:r>
        <w:rPr>
          <w:lang w:val="en-US"/>
          <w:spacing w:val="-3"/>
        </w:rPr>
        <w:t xml:space="preserve"> </w:t>
      </w:r>
      <w:r>
        <w:rPr>
          <w:lang w:val="en-US"/>
        </w:rPr>
        <w:t xml:space="preserve">IBF </w:t>
      </w:r>
      <w:r>
        <w:rPr>
          <w:lang w:val="en-US"/>
          <w:spacing w:val="-1"/>
        </w:rPr>
        <w:t>members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where</w:t>
      </w:r>
      <w:r>
        <w:rPr>
          <w:lang w:val="en-US"/>
        </w:rPr>
        <w:t xml:space="preserve"> there is </w:t>
      </w:r>
      <w:r>
        <w:rPr>
          <w:lang w:val="en-US"/>
          <w:spacing w:val="-2"/>
        </w:rPr>
        <w:t>in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existence</w:t>
      </w:r>
      <w:r>
        <w:rPr>
          <w:lang w:val="en-US"/>
        </w:rPr>
        <w:t xml:space="preserve"> an</w:t>
      </w:r>
      <w:r>
        <w:rPr>
          <w:lang w:val="en-US"/>
          <w:spacing w:val="-2"/>
        </w:rPr>
        <w:t xml:space="preserve"> </w:t>
      </w:r>
      <w:r>
        <w:rPr>
          <w:lang w:val="en-US"/>
        </w:rPr>
        <w:t xml:space="preserve">IBF </w:t>
      </w:r>
      <w:r>
        <w:rPr>
          <w:lang w:val="en-US"/>
          <w:spacing w:val="-1"/>
        </w:rPr>
        <w:t>Special</w:t>
      </w:r>
      <w:r>
        <w:rPr>
          <w:lang w:val="en-US"/>
          <w:spacing w:val="45"/>
        </w:rPr>
        <w:t xml:space="preserve"> </w:t>
      </w:r>
      <w:r>
        <w:rPr>
          <w:lang w:val="en-US"/>
          <w:spacing w:val="-1"/>
        </w:rPr>
        <w:t>Agreement.</w:t>
      </w:r>
    </w:p>
    <w:p>
      <w:pPr>
        <w:pStyle w:val="BodyText"/>
        <w:ind w:left="0"/>
        <w:kinsoku w:val="off"/>
        <w:overflowPunct w:val="off"/>
        <w:spacing w:line="276" w:lineRule="auto"/>
        <w:rPr>
          <w:lang w:val="en-US"/>
          <w:sz w:val="25"/>
          <w:szCs w:val="25"/>
        </w:rPr>
      </w:pPr>
    </w:p>
    <w:p>
      <w:pPr>
        <w:pStyle w:val="BodyText"/>
        <w:ind w:left="0" w:right="550"/>
        <w:kinsoku w:val="off"/>
        <w:overflowPunct w:val="off"/>
        <w:spacing w:line="276" w:lineRule="auto"/>
        <w:rPr>
          <w:lang w:val="en-US"/>
        </w:rPr>
      </w:pPr>
      <w:r>
        <w:rPr>
          <w:lang w:val="en-US"/>
        </w:rPr>
        <w:t>It</w:t>
      </w:r>
      <w:r>
        <w:rPr>
          <w:lang w:val="en-US"/>
        </w:rPr>
        <w:t xml:space="preserve"> </w:t>
      </w:r>
      <w:r>
        <w:rPr>
          <w:lang w:val="en-US"/>
        </w:rPr>
        <w:t>shall</w:t>
      </w:r>
      <w:r>
        <w:rPr>
          <w:lang w:val="en-US"/>
        </w:rPr>
        <w:t xml:space="preserve"> </w:t>
      </w:r>
      <w:r>
        <w:rPr>
          <w:lang w:val="en-US"/>
        </w:rPr>
        <w:t>not</w:t>
      </w:r>
      <w:r>
        <w:rPr>
          <w:lang w:val="en-US"/>
        </w:rPr>
        <w:t xml:space="preserve"> apply </w:t>
      </w:r>
      <w:r>
        <w:rPr>
          <w:lang w:val="en-US"/>
        </w:rPr>
        <w:t xml:space="preserve">to JNG </w:t>
      </w:r>
      <w:r>
        <w:rPr>
          <w:lang w:val="en-US"/>
        </w:rPr>
        <w:t>vessels</w:t>
      </w:r>
      <w:r>
        <w:rPr>
          <w:lang w:val="en-US"/>
        </w:rPr>
        <w:t xml:space="preserve"> not </w:t>
      </w:r>
      <w:r>
        <w:rPr>
          <w:lang w:val="en-US"/>
        </w:rPr>
        <w:t>in</w:t>
      </w:r>
      <w:r>
        <w:rPr>
          <w:lang w:val="en-US"/>
        </w:rPr>
        <w:t xml:space="preserve"> </w:t>
      </w:r>
      <w:r>
        <w:rPr>
          <w:lang w:val="en-US"/>
        </w:rPr>
        <w:t>international</w:t>
      </w:r>
      <w:r>
        <w:rPr>
          <w:lang w:val="en-US"/>
        </w:rPr>
        <w:t xml:space="preserve"> </w:t>
      </w:r>
      <w:r>
        <w:rPr>
          <w:lang w:val="en-US"/>
        </w:rPr>
        <w:t>trade</w:t>
      </w:r>
      <w:r>
        <w:rPr>
          <w:lang w:val="en-US"/>
        </w:rPr>
        <w:t xml:space="preserve"> </w:t>
      </w:r>
      <w:r>
        <w:rPr>
          <w:lang w:val="en-US"/>
        </w:rPr>
        <w:t>and</w:t>
      </w:r>
      <w:r>
        <w:rPr>
          <w:lang w:val="en-US"/>
        </w:rPr>
        <w:t xml:space="preserve"> </w:t>
      </w:r>
      <w:r>
        <w:rPr>
          <w:lang w:val="en-US"/>
        </w:rPr>
        <w:t>to</w:t>
      </w:r>
      <w:r>
        <w:rPr>
          <w:lang w:val="en-US"/>
        </w:rPr>
        <w:t xml:space="preserve"> </w:t>
      </w:r>
      <w:r>
        <w:rPr>
          <w:lang w:val="en-US"/>
        </w:rPr>
        <w:t>the vessels</w:t>
      </w:r>
      <w:r>
        <w:rPr>
          <w:lang w:val="en-US"/>
        </w:rPr>
        <w:t xml:space="preserve"> </w:t>
      </w:r>
      <w:r>
        <w:rPr>
          <w:lang w:val="en-US"/>
        </w:rPr>
        <w:t>covered</w:t>
      </w:r>
      <w:r>
        <w:rPr>
          <w:lang w:val="en-US"/>
        </w:rPr>
        <w:t xml:space="preserve"> </w:t>
      </w:r>
      <w:r>
        <w:rPr>
          <w:lang w:val="en-US"/>
        </w:rPr>
        <w:t>b</w:t>
      </w:r>
      <w:r>
        <w:rPr>
          <w:lang w:val="en-US"/>
        </w:rPr>
        <w:t>y</w:t>
      </w:r>
      <w:r>
        <w:rPr>
          <w:lang w:val="en-US"/>
        </w:rPr>
        <w:t xml:space="preserve"> </w:t>
      </w:r>
      <w:r>
        <w:rPr>
          <w:lang w:val="en-US"/>
        </w:rPr>
        <w:t>the</w:t>
      </w:r>
      <w:r>
        <w:rPr>
          <w:lang w:val="en-US"/>
        </w:rPr>
        <w:t xml:space="preserve"> </w:t>
      </w:r>
      <w:r>
        <w:rPr>
          <w:lang w:val="en-US"/>
        </w:rPr>
        <w:t>ITF</w:t>
      </w:r>
      <w:r>
        <w:rPr>
          <w:lang w:val="en-US"/>
        </w:rPr>
        <w:t xml:space="preserve"> Athens Policy </w:t>
      </w:r>
      <w:r>
        <w:rPr>
          <w:lang w:val="en-US"/>
        </w:rPr>
        <w:t>and</w:t>
      </w:r>
      <w:r>
        <w:rPr>
          <w:lang w:val="en-US"/>
        </w:rPr>
        <w:t xml:space="preserve"> </w:t>
      </w:r>
      <w:r>
        <w:rPr>
          <w:lang w:val="en-US"/>
        </w:rPr>
        <w:t xml:space="preserve">Miami </w:t>
      </w:r>
      <w:r>
        <w:rPr>
          <w:lang w:val="en-US"/>
        </w:rPr>
        <w:t>Guidelines. (However,</w:t>
      </w:r>
      <w:r>
        <w:rPr>
          <w:lang w:val="en-US"/>
        </w:rPr>
        <w:t xml:space="preserve"> the</w:t>
      </w:r>
      <w:r>
        <w:rPr>
          <w:lang w:val="en-US"/>
        </w:rPr>
        <w:t xml:space="preserve"> </w:t>
      </w:r>
      <w:r>
        <w:rPr>
          <w:lang w:val="en-US"/>
        </w:rPr>
        <w:t>“</w:t>
      </w:r>
      <w:r>
        <w:rPr>
          <w:lang w:val="en-US"/>
        </w:rPr>
        <w:t xml:space="preserve">Approach for IBF </w:t>
      </w:r>
      <w:r>
        <w:rPr>
          <w:lang w:val="en-US"/>
        </w:rPr>
        <w:t>s</w:t>
      </w:r>
      <w:r>
        <w:rPr>
          <w:lang w:val="en-US"/>
        </w:rPr>
        <w:t xml:space="preserve">hips under the ITF Athens </w:t>
      </w:r>
      <w:r>
        <w:rPr>
          <w:lang w:val="en-US"/>
        </w:rPr>
        <w:t>Policy</w:t>
      </w:r>
      <w:r>
        <w:rPr>
          <w:lang w:val="en-US"/>
        </w:rPr>
        <w:t>”</w:t>
      </w:r>
      <w:r>
        <w:rPr>
          <w:lang w:val="en-GB"/>
        </w:rPr>
        <w:t xml:space="preserve"> </w:t>
      </w:r>
      <w:r>
        <w:rPr>
          <w:lang w:val="en-US"/>
        </w:rPr>
        <w:t>was</w:t>
      </w:r>
      <w:r>
        <w:rPr>
          <w:lang w:val="en-US"/>
        </w:rPr>
        <w:t xml:space="preserve"> </w:t>
      </w:r>
      <w:r>
        <w:rPr>
          <w:lang w:val="en-US"/>
        </w:rPr>
        <w:t>agreed</w:t>
      </w:r>
      <w:r>
        <w:rPr>
          <w:lang w:val="en-US"/>
        </w:rPr>
        <w:t xml:space="preserve"> </w:t>
      </w:r>
      <w:r>
        <w:rPr>
          <w:lang w:val="en-US"/>
        </w:rPr>
        <w:t>between</w:t>
      </w:r>
      <w:r>
        <w:rPr>
          <w:lang w:val="en-US"/>
        </w:rPr>
        <w:t xml:space="preserve"> JNG</w:t>
      </w:r>
      <w:r>
        <w:rPr>
          <w:lang w:val="en-US"/>
        </w:rPr>
        <w:t xml:space="preserve"> </w:t>
      </w:r>
      <w:r>
        <w:rPr>
          <w:lang w:val="en-US"/>
        </w:rPr>
        <w:t>and</w:t>
      </w:r>
      <w:r>
        <w:rPr>
          <w:lang w:val="en-US"/>
        </w:rPr>
        <w:t xml:space="preserve"> </w:t>
      </w:r>
      <w:r>
        <w:rPr>
          <w:lang w:val="en-US"/>
        </w:rPr>
        <w:t>ITF</w:t>
      </w:r>
      <w:r>
        <w:rPr>
          <w:lang w:val="en-US"/>
        </w:rPr>
        <w:t>.</w:t>
      </w:r>
      <w:r>
        <w:rPr>
          <w:lang w:val="en-US"/>
        </w:rPr>
        <w:t>)</w:t>
      </w:r>
    </w:p>
    <w:p>
      <w:pPr>
        <w:pStyle w:val="BodyText"/>
        <w:ind w:left="0"/>
        <w:kinsoku w:val="off"/>
        <w:overflowPunct w:val="off"/>
        <w:jc w:val="both"/>
        <w:spacing w:line="276" w:lineRule="auto"/>
        <w:rPr>
          <w:lang w:val="en-US"/>
        </w:rPr>
      </w:pPr>
    </w:p>
    <w:p>
      <w:pPr>
        <w:pStyle w:val="BodyText"/>
        <w:ind w:left="0" w:right="214"/>
        <w:kinsoku w:val="off"/>
        <w:overflowPunct w:val="off"/>
        <w:spacing w:line="276" w:lineRule="auto"/>
        <w:rPr>
          <w:lang w:val="en-US"/>
          <w:spacing w:val="-1"/>
        </w:rPr>
      </w:pPr>
      <w:r>
        <w:rPr>
          <w:lang w:val="en-US"/>
          <w:spacing w:val="-1"/>
        </w:rPr>
        <w:t>The</w:t>
      </w:r>
      <w:r>
        <w:rPr>
          <w:lang w:val="en-US"/>
        </w:rPr>
        <w:t xml:space="preserve"> </w:t>
      </w:r>
      <w:r>
        <w:rPr>
          <w:lang w:val="en-US"/>
        </w:rPr>
        <w:t xml:space="preserve">outcome of the </w:t>
      </w:r>
      <w:r>
        <w:rPr>
          <w:lang w:val="en-US"/>
        </w:rPr>
        <w:t>202</w:t>
      </w:r>
      <w:r>
        <w:rPr>
          <w:lang w:val="en-US"/>
        </w:rPr>
        <w:t>3</w:t>
      </w:r>
      <w:r>
        <w:rPr>
          <w:lang w:val="en-US"/>
        </w:rPr>
        <w:t xml:space="preserve"> IBF central </w:t>
      </w:r>
      <w:r>
        <w:rPr>
          <w:lang w:val="en-US"/>
        </w:rPr>
        <w:t xml:space="preserve">cost </w:t>
      </w:r>
      <w:r>
        <w:rPr>
          <w:lang w:val="en-US"/>
        </w:rPr>
        <w:t>negotiations</w:t>
      </w:r>
      <w:r>
        <w:rPr>
          <w:lang w:val="en-US"/>
          <w:spacing w:val="-3"/>
        </w:rPr>
        <w:t xml:space="preserve"> </w:t>
      </w:r>
      <w:r>
        <w:rPr>
          <w:lang w:val="en-US"/>
        </w:rPr>
        <w:t>shall</w:t>
      </w:r>
      <w:r>
        <w:rPr>
          <w:lang w:val="en-US"/>
          <w:spacing w:val="-3"/>
        </w:rPr>
        <w:t xml:space="preserve"> </w:t>
      </w:r>
      <w:r>
        <w:rPr>
          <w:lang w:val="en-US"/>
        </w:rPr>
        <w:t>be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implemented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through</w:t>
      </w:r>
      <w:r>
        <w:rPr>
          <w:lang w:val="en-US"/>
          <w:spacing w:val="37"/>
        </w:rPr>
        <w:t xml:space="preserve"> </w:t>
      </w:r>
      <w:r>
        <w:rPr>
          <w:lang w:val="en-US"/>
          <w:spacing w:val="-1"/>
        </w:rPr>
        <w:t>local/national</w:t>
      </w:r>
      <w:r>
        <w:rPr>
          <w:lang w:val="en-US"/>
          <w:spacing w:val="-3"/>
        </w:rPr>
        <w:t xml:space="preserve"> </w:t>
      </w:r>
      <w:r>
        <w:rPr>
          <w:lang w:val="en-US"/>
          <w:spacing w:val="-1"/>
        </w:rPr>
        <w:t>negotiations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between</w:t>
      </w:r>
      <w:r>
        <w:rPr>
          <w:lang w:val="en-US"/>
        </w:rPr>
        <w:t xml:space="preserve"> JNG</w:t>
      </w:r>
      <w:r>
        <w:rPr>
          <w:lang w:val="en-US"/>
          <w:spacing w:val="-2"/>
        </w:rPr>
        <w:t xml:space="preserve"> </w:t>
      </w:r>
      <w:r>
        <w:rPr>
          <w:lang w:val="en-US"/>
        </w:rPr>
        <w:t xml:space="preserve">member </w:t>
      </w:r>
      <w:r>
        <w:rPr>
          <w:lang w:val="en-US"/>
          <w:spacing w:val="-1"/>
        </w:rPr>
        <w:t>companies</w:t>
      </w:r>
      <w:r>
        <w:rPr>
          <w:lang w:val="en-US"/>
        </w:rPr>
        <w:t xml:space="preserve"> </w:t>
      </w:r>
      <w:r>
        <w:rPr>
          <w:lang w:val="en-US"/>
          <w:spacing w:val="-1"/>
        </w:rPr>
        <w:t>and</w:t>
      </w:r>
      <w:r>
        <w:rPr>
          <w:lang w:val="en-US"/>
          <w:spacing w:val="-2"/>
        </w:rPr>
        <w:t xml:space="preserve"> </w:t>
      </w:r>
      <w:r>
        <w:rPr>
          <w:lang w:val="en-US"/>
          <w:spacing w:val="-1"/>
        </w:rPr>
        <w:t>ITF</w:t>
      </w:r>
      <w:r>
        <w:rPr>
          <w:lang w:val="en-US"/>
          <w:spacing w:val="-1"/>
        </w:rPr>
        <w:t xml:space="preserve"> </w:t>
      </w:r>
      <w:r>
        <w:rPr>
          <w:lang w:val="en-US"/>
        </w:rPr>
        <w:t>affiliates</w:t>
      </w:r>
      <w:r>
        <w:rPr>
          <w:lang w:val="en-US"/>
        </w:rPr>
        <w:t xml:space="preserve"> by the end of 202</w:t>
      </w:r>
      <w:r>
        <w:rPr>
          <w:lang w:val="en-US"/>
        </w:rPr>
        <w:t>3</w:t>
      </w:r>
      <w:r>
        <w:rPr>
          <w:lang w:val="en-US"/>
        </w:rPr>
        <w:t>.</w:t>
      </w:r>
      <w:r>
        <w:rPr>
          <w:lang w:val="en-US"/>
        </w:rPr>
        <w:t xml:space="preserve"> </w:t>
      </w:r>
    </w:p>
    <w:p>
      <w:pPr>
        <w:spacing w:line="276" w:lineRule="auto"/>
        <w:rPr>
          <w:lang w:val="en-GB"/>
        </w:rPr>
      </w:pPr>
    </w:p>
    <w:p>
      <w:pPr>
        <w:pStyle w:val="BodyText2"/>
        <w:widowControl/>
        <w:spacing w:after="0" w:line="276" w:lineRule="auto"/>
        <w:rPr>
          <w:lang w:val="en-GB"/>
          <w:rFonts w:ascii="Arial" w:hAnsi="Arial" w:cs="Arial"/>
          <w:color w:val="000000"/>
        </w:rPr>
      </w:pPr>
      <w:r>
        <w:rPr>
          <w:lang w:val="en-GB"/>
          <w:rFonts w:ascii="Arial" w:hAnsi="Arial" w:cs="Arial"/>
          <w:color w:val="000000"/>
        </w:rPr>
        <w:t xml:space="preserve">Where the text of any contractual clause of the IBF Agreement, as agreed by the IBF centrally, contradicts specific requirements of applicable national legislation, the parties to local/national IBF negotiations may adopt amended wording in their respective agreements in order to fully implement the intent of the respective article of the IBF </w:t>
      </w:r>
      <w:r>
        <w:rPr>
          <w:lang w:val="en-GB"/>
          <w:rFonts w:ascii="Arial" w:hAnsi="Arial" w:cs="Arial"/>
          <w:color w:val="000000"/>
        </w:rPr>
        <w:t xml:space="preserve">Framework </w:t>
      </w:r>
      <w:r>
        <w:rPr>
          <w:lang w:val="en-GB"/>
          <w:rFonts w:ascii="Arial" w:hAnsi="Arial" w:cs="Arial"/>
          <w:color w:val="000000"/>
        </w:rPr>
        <w:t>Agreement.</w:t>
      </w:r>
    </w:p>
    <w:p>
      <w:pPr>
        <w:pStyle w:val="BodyText"/>
        <w:ind w:left="0" w:right="268"/>
        <w:kinsoku w:val="off"/>
        <w:overflowPunct w:val="off"/>
        <w:jc w:val="both"/>
        <w:tabs>
          <w:tab w:val="left" w:pos="284"/>
        </w:tabs>
        <w:spacing w:line="276" w:lineRule="auto"/>
        <w:rPr>
          <w:lang w:val="en-GB"/>
        </w:rPr>
      </w:pPr>
    </w:p>
    <w:tbl>
      <w:tblPr>
        <w:tblStyle w:val="TableGrid"/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4644"/>
        <w:gridCol w:w="426"/>
        <w:gridCol w:w="4426"/>
      </w:tblGrid>
      <w:tr>
        <w:trPr>
          <w:trHeight w:val="964" w:hRule="atLeast"/>
        </w:trPr>
        <w:tc>
          <w:tcPr>
            <w:tcW w:w="4644" w:type="dxa"/>
            <w:tcBorders>
              <w:bottom w:val="single" w:sz="4" w:space="0" w:color="auto"/>
            </w:tcBorders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  <w:b/>
                <w:bCs/>
              </w:rPr>
            </w:pPr>
            <w:r>
              <w:rPr>
                <w:lang w:val="en-GB"/>
                <w:b/>
                <w:bCs/>
              </w:rPr>
              <w:t>Signed by (for ITF)</w:t>
            </w:r>
            <w:r>
              <w:rPr>
                <w:lang w:val="en-GB"/>
                <w:b/>
                <w:bCs/>
              </w:rPr>
              <w:t>:</w:t>
            </w:r>
          </w:p>
        </w:tc>
        <w:tc>
          <w:tcPr>
            <w:tcW w:w="426" w:type="dxa"/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  <w:b/>
                <w:bCs/>
              </w:rPr>
            </w:pPr>
          </w:p>
        </w:tc>
        <w:tc>
          <w:tcPr>
            <w:tcW w:w="4426" w:type="dxa"/>
            <w:tcBorders>
              <w:bottom w:val="single" w:sz="4" w:space="0" w:color="auto"/>
            </w:tcBorders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  <w:b/>
                <w:bCs/>
              </w:rPr>
            </w:pPr>
            <w:r>
              <w:rPr>
                <w:lang w:val="en-GB"/>
                <w:b/>
                <w:bCs/>
              </w:rPr>
              <w:t>Signed by (for JNG)</w:t>
            </w:r>
            <w:r>
              <w:rPr>
                <w:lang w:val="en-GB"/>
                <w:b/>
                <w:bCs/>
              </w:rPr>
              <w:t>:</w:t>
            </w:r>
          </w:p>
        </w:tc>
      </w:tr>
      <w:tr>
        <w:trPr>
          <w:trHeight w:val="964" w:hRule="atLeast"/>
        </w:trPr>
        <w:tc>
          <w:tcPr>
            <w:tcW w:w="464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D. Heindel</w:t>
            </w:r>
          </w:p>
        </w:tc>
        <w:tc>
          <w:tcPr>
            <w:tcW w:w="426" w:type="dxa"/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</w:rPr>
            </w:pPr>
          </w:p>
        </w:tc>
        <w:tc>
          <w:tcPr>
            <w:tcW w:w="442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T. Inoue</w:t>
            </w:r>
          </w:p>
        </w:tc>
      </w:tr>
      <w:tr>
        <w:trPr>
          <w:trHeight w:val="964" w:hRule="atLeast"/>
        </w:trPr>
        <w:tc>
          <w:tcPr>
            <w:tcW w:w="464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P. Crumlin</w:t>
            </w:r>
          </w:p>
        </w:tc>
        <w:tc>
          <w:tcPr>
            <w:tcW w:w="426" w:type="dxa"/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</w:rPr>
            </w:pPr>
          </w:p>
        </w:tc>
        <w:tc>
          <w:tcPr>
            <w:tcW w:w="442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B. Ahmed</w:t>
            </w:r>
          </w:p>
        </w:tc>
      </w:tr>
      <w:tr>
        <w:trPr>
          <w:trHeight w:val="964" w:hRule="atLeast"/>
        </w:trPr>
        <w:tc>
          <w:tcPr>
            <w:tcW w:w="4644" w:type="dxa"/>
            <w:tcBorders>
              <w:top w:val="single" w:sz="4" w:space="0" w:color="auto"/>
            </w:tcBorders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S. Cotton</w:t>
            </w:r>
          </w:p>
        </w:tc>
        <w:tc>
          <w:tcPr>
            <w:tcW w:w="426" w:type="dxa"/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</w:rPr>
            </w:pPr>
          </w:p>
        </w:tc>
        <w:tc>
          <w:tcPr>
            <w:tcW w:w="442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F. Gargiulo</w:t>
            </w:r>
          </w:p>
        </w:tc>
      </w:tr>
      <w:tr>
        <w:trPr>
          <w:trHeight w:val="964" w:hRule="atLeast"/>
        </w:trPr>
        <w:tc>
          <w:tcPr>
            <w:tcW w:w="4644" w:type="dxa"/>
          </w:tcPr>
          <w:p>
            <w:pPr>
              <w:pStyle w:val="BodyText"/>
              <w:ind w:left="0" w:right="268"/>
              <w:kinsoku w:val="off"/>
              <w:overflowPunct w:val="off"/>
              <w:tabs>
                <w:tab w:val="left" w:pos="284"/>
              </w:tabs>
              <w:spacing w:line="276" w:lineRule="auto"/>
              <w:rPr>
                <w:lang w:val="en-GB"/>
              </w:rPr>
            </w:pPr>
          </w:p>
          <w:p>
            <w:pPr>
              <w:pStyle w:val="BodyText"/>
              <w:ind w:left="0" w:right="268"/>
              <w:kinsoku w:val="off"/>
              <w:overflowPunct w:val="off"/>
              <w:tabs>
                <w:tab w:val="left" w:pos="284"/>
              </w:tabs>
              <w:spacing w:line="276" w:lineRule="auto"/>
              <w:rPr>
                <w:lang w:val="en-GB"/>
              </w:rPr>
            </w:pPr>
          </w:p>
          <w:p>
            <w:pPr>
              <w:pStyle w:val="BodyText"/>
              <w:ind w:left="0" w:right="268"/>
              <w:kinsoku w:val="off"/>
              <w:overflowPunct w:val="off"/>
              <w:tabs>
                <w:tab w:val="left" w:pos="284"/>
              </w:tabs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21 September</w:t>
            </w:r>
            <w:r>
              <w:rPr>
                <w:lang w:val="en-GB"/>
              </w:rPr>
              <w:t xml:space="preserve"> </w:t>
            </w:r>
            <w:r>
              <w:rPr>
                <w:lang w:val="en-GB"/>
              </w:rPr>
              <w:t>202</w:t>
            </w:r>
            <w:r>
              <w:rPr>
                <w:lang w:val="en-GB"/>
              </w:rPr>
              <w:t>3</w:t>
            </w:r>
          </w:p>
        </w:tc>
        <w:tc>
          <w:tcPr>
            <w:tcW w:w="426" w:type="dxa"/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</w:rPr>
            </w:pPr>
          </w:p>
        </w:tc>
        <w:tc>
          <w:tcPr>
            <w:tcW w:w="4426" w:type="dxa"/>
            <w:tcBorders>
              <w:top w:val="single" w:sz="4" w:space="0" w:color="auto"/>
            </w:tcBorders>
          </w:tcPr>
          <w:p>
            <w:pPr>
              <w:pStyle w:val="BodyText"/>
              <w:ind w:left="0" w:right="268"/>
              <w:kinsoku w:val="off"/>
              <w:overflowPunct w:val="off"/>
              <w:jc w:val="center"/>
              <w:tabs>
                <w:tab w:val="left" w:pos="284"/>
              </w:tabs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R. Ikeda</w:t>
            </w:r>
          </w:p>
        </w:tc>
      </w:tr>
    </w:tbl>
    <w:p>
      <w:pPr>
        <w:pStyle w:val="BodyText"/>
        <w:ind w:left="0"/>
        <w:kinsoku w:val="off"/>
        <w:overflowPunct w:val="off"/>
        <w:jc w:val="both"/>
        <w:spacing w:line="276" w:lineRule="auto"/>
        <w:rPr>
          <w:lang w:val="en-US"/>
          <w:sz w:val="29"/>
          <w:szCs w:val="29"/>
        </w:rPr>
      </w:pPr>
    </w:p>
    <w:sectPr>
      <w:pgSz w:w="12240" w:h="15840"/>
      <w:pgMar w:top="1500" w:right="1480" w:bottom="960" w:left="1480" w:header="0" w:footer="765" w:gutter="0"/>
      <w:cols w:space="720"/>
      <w:docGrid w:linePitch="360"/>
      <w:footerReference w:type="default" r:id="rId1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 Unicode MS">
    <w:panose1 w:val="020B0604020202020204"/>
    <w:family w:val="roman"/>
    <w:charset w:val="00"/>
    <w:notTrueType w:val="false"/>
    <w:sig w:usb0="7FFFFFFF" w:usb1="7FFFFFFF" w:usb2="0000003F" w:usb3="00000001" w:csb0="603F01FF" w:csb1="7FFFFFFF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Symbol">
    <w:panose1 w:val="05050102010706020507"/>
    <w:family w:val="roman"/>
    <w:charset w:val="02"/>
    <w:notTrueType w:val="false"/>
    <w:sig w:usb0="00000001" w:usb1="00000001" w:usb2="00000001" w:usb3="00000001" w:csb0="80000000" w:csb1="00000001"/>
  </w:font>
  <w:font w:name="Courier New">
    <w:panose1 w:val="02070309020205020404"/>
    <w:family w:val="modern"/>
    <w:charset w:val="00"/>
    <w:notTrueType w:val="false"/>
    <w:sig w:usb0="E0002EFF" w:usb1="C0007843" w:usb2="00000009" w:usb3="00000001" w:csb0="400001FF" w:csb1="FFFF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BodyText"/>
      <w:ind w:left="0"/>
      <w:kinsoku w:val="off"/>
      <w:overflowPunct w:val="off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behindDoc="1" locked="0" layoutInCell="0" simplePos="0" relativeHeight="251659264" allowOverlap="1" hidden="0">
              <wp:simplePos x="0" y="0"/>
              <wp:positionH relativeFrom="page">
                <wp:posOffset>6582410</wp:posOffset>
              </wp:positionH>
              <wp:positionV relativeFrom="page">
                <wp:posOffset>9432925</wp:posOffset>
              </wp:positionV>
              <wp:extent cx="135890" cy="177800"/>
              <wp:effectExtent l="0" t="0" r="0" b="0"/>
              <wp:wrapNone/>
              <wp:docPr id="2049" name="shape2049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589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BodyText"/>
                            <w:ind w:left="40"/>
                            <w:kinsoku w:val="off"/>
                            <w:overflowPunct w:val="off"/>
                            <w:spacing w:line="265" w:lineRule="exac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49" style="position:absolute;margin-left:518.3pt;margin-top:742.75pt;width:10.7pt;height:14pt;mso-position-horizontal-relative:page;mso-position-vertical-relative:page;v-text-anchor:top;mso-wrap-style:square;z-index:-251659264" o:allowincell="f" filled="f" fillcolor="#ffffff" stroked="f">
              <v:textbox inset="0.0mm,0.0mm,0.0mm,0.0mm">
                <w:txbxContent>
                  <w:p>
                    <w:pPr>
                      <w:pStyle w:val="BodyText"/>
                      <w:ind w:left="40"/>
                      <w:kinsoku w:val="off"/>
                      <w:overflowPunct w:val="off"/>
                      <w:spacing w:line="265" w:lineRule="exac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v:stroke joinstyle="round"/>
            </v:rect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1da6eaf"/>
    <w:multiLevelType w:val="hybridMultilevel"/>
    <w:tmpl w:val="efac200c"/>
    <w:lvl w:ilvl="0" w:tplc="4190001">
      <w:start w:val="1"/>
      <w:numFmt w:val="bullet"/>
      <w:lvlText w:val=""/>
      <w:lvlJc w:val="left"/>
      <w:pPr>
        <w:ind w:left="-2755" w:hanging="360"/>
      </w:pPr>
      <w:rPr>
        <w:rFonts w:ascii="Symbol" w:hAnsi="Symbol" w:hint="default"/>
      </w:rPr>
    </w:lvl>
    <w:lvl w:ilvl="1" w:tentative="on" w:tplc="4190003">
      <w:start w:val="1"/>
      <w:numFmt w:val="bullet"/>
      <w:lvlText w:val="o"/>
      <w:lvlJc w:val="left"/>
      <w:pPr>
        <w:ind w:left="-2035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-1315" w:hanging="360"/>
      </w:pPr>
      <w:rPr>
        <w:rFonts w:ascii="Wingdings" w:hAnsi="Wingdings" w:hint="default"/>
      </w:rPr>
    </w:lvl>
    <w:lvl w:ilvl="3" w:tentative="on" w:tplc="4190001">
      <w:start w:val="1"/>
      <w:numFmt w:val="bullet"/>
      <w:lvlText w:val=""/>
      <w:lvlJc w:val="left"/>
      <w:pPr>
        <w:ind w:left="-595" w:hanging="360"/>
      </w:pPr>
      <w:rPr>
        <w:rFonts w:ascii="Symbol" w:hAnsi="Symbol" w:hint="default"/>
      </w:rPr>
    </w:lvl>
    <w:lvl w:ilvl="4" w:tentative="on" w:tplc="4190003">
      <w:start w:val="1"/>
      <w:numFmt w:val="bullet"/>
      <w:lvlText w:val="o"/>
      <w:lvlJc w:val="left"/>
      <w:pPr>
        <w:ind w:left="125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845" w:hanging="360"/>
      </w:pPr>
      <w:rPr>
        <w:rFonts w:ascii="Wingdings" w:hAnsi="Wingdings" w:hint="default"/>
      </w:rPr>
    </w:lvl>
    <w:lvl w:ilvl="6" w:tentative="on" w:tplc="4190001">
      <w:start w:val="1"/>
      <w:numFmt w:val="bullet"/>
      <w:lvlText w:val=""/>
      <w:lvlJc w:val="left"/>
      <w:pPr>
        <w:ind w:left="1565" w:hanging="360"/>
      </w:pPr>
      <w:rPr>
        <w:rFonts w:ascii="Symbol" w:hAnsi="Symbol" w:hint="default"/>
      </w:rPr>
    </w:lvl>
    <w:lvl w:ilvl="7" w:tentative="on" w:tplc="4190003">
      <w:start w:val="1"/>
      <w:numFmt w:val="bullet"/>
      <w:lvlText w:val="o"/>
      <w:lvlJc w:val="left"/>
      <w:pPr>
        <w:ind w:left="2285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3005" w:hanging="360"/>
      </w:pPr>
      <w:rPr>
        <w:rFonts w:ascii="Wingdings" w:hAnsi="Wingdings" w:hint="default"/>
      </w:rPr>
    </w:lvl>
  </w:abstractNum>
  <w:abstractNum w:abstractNumId="1">
    <w:nsid w:val="5193426a"/>
    <w:multiLevelType w:val="hybridMultilevel"/>
    <w:tmpl w:val="513266a4"/>
    <w:lvl w:ilvl="0" w:tplc="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entative="on" w:tplc="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on" w:tplc="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on" w:tplc="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on" w:tplc="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on" w:tplc="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d3e277a"/>
    <w:multiLevelType w:val="hybridMultilevel"/>
    <w:tmpl w:val="9b301250"/>
    <w:lvl w:ilvl="0" w:tplc="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b95928"/>
    <w:multiLevelType w:val="hybridMultilevel"/>
    <w:tmpl w:val="4544a39c"/>
    <w:lvl w:ilvl="0" w:tplc="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20"/>
  <w:drawingGridVerticalSpacing w:val="120"/>
  <w:doNotUseMarginsForDrawingGridOrigin/>
  <w:displayHorizontalDrawingGridEvery w:val="1"/>
  <w:displayVerticalDrawingGridEvery w:val="3"/>
  <w:doNotShadeFormData/>
  <w:characterSpacingControl w:val="doNotCompress"/>
  <w:doNotValidateAgainstSchema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1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adjustRightInd/>
      <w:autoSpaceDE w:val="off"/>
      <w:autoSpaceDN w:val="off"/>
      <w:widowControl w:val="off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uiPriority w:val="1"/>
    <w:basedOn w:val="Normal"/>
    <w:next w:val="Normal"/>
    <w:link w:val="Heading1Char"/>
    <w:qFormat/>
    <w:pPr>
      <w:outlineLvl w:val="0"/>
    </w:pPr>
    <w:rPr>
      <w:rFonts w:ascii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uiPriority w:val="1"/>
    <w:basedOn w:val="Normal"/>
    <w:link w:val="BodyTextChar"/>
    <w:qFormat/>
    <w:pPr>
      <w:ind w:left="1181"/>
    </w:pPr>
    <w:rPr>
      <w:rFonts w:ascii="Arial" w:hAnsi="Arial" w:cs="Arial"/>
    </w:rPr>
  </w:style>
  <w:style w:type="character" w:customStyle="1" w:styleId="BodyTextChar">
    <w:name w:val="Body Text Char"/>
    <w:uiPriority w:val="99"/>
    <w:basedOn w:val="DefaultParagraphFont"/>
    <w:link w:val="BodyText"/>
    <w:semiHidden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uiPriority w:val="9"/>
    <w:basedOn w:val="DefaultParagraphFont"/>
    <w:link w:val="Heading1"/>
    <w:rPr>
      <w:rFonts w:asciiTheme="majorHAnsi" w:eastAsiaTheme="majorEastAsia" w:hAnsiTheme="majorHAnsi" w:cstheme="majorBidi"/>
      <w:b/>
      <w:bCs/>
      <w:sz w:val="32"/>
      <w:szCs w:val="32"/>
      <w:kern w:val="32"/>
    </w:rPr>
  </w:style>
  <w:style w:type="paragraph" w:styleId="ListParagraph">
    <w:name w:val="List Paragraph"/>
    <w:uiPriority w:val="1"/>
    <w:basedOn w:val="Normal"/>
    <w:qFormat/>
  </w:style>
  <w:style w:type="paragraph" w:customStyle="1" w:styleId="TableParagraph">
    <w:name w:val="Table Paragraph"/>
    <w:uiPriority w:val="1"/>
    <w:basedOn w:val="Normal"/>
    <w:qFormat/>
  </w:style>
  <w:style w:type="paragraph" w:styleId="BodyText2">
    <w:name w:val="Body Text 2"/>
    <w:uiPriority w:val="99"/>
    <w:basedOn w:val="Normal"/>
    <w:link w:val="BodyText2Char"/>
    <w:semiHidden/>
    <w:unhideWhenUsed/>
    <w:pPr>
      <w:spacing w:after="120" w:line="480" w:lineRule="auto"/>
    </w:pPr>
  </w:style>
  <w:style w:type="character" w:customStyle="1" w:styleId="BodyText2Char">
    <w:name w:val="Body Text 2 Char"/>
    <w:uiPriority w:val="99"/>
    <w:basedOn w:val="DefaultParagraphFont"/>
    <w:link w:val="BodyText2"/>
    <w:semiHidden/>
    <w:rPr>
      <w:rFonts w:ascii="Times New Roman" w:hAnsi="Times New Roman" w:cs="Times New Roman"/>
      <w:sz w:val="24"/>
      <w:szCs w:val="24"/>
    </w:rPr>
  </w:style>
  <w:style w:type="table" w:styleId="TableGrid">
    <w:name w:val="Table Grid"/>
    <w:uiPriority w:val="59"/>
    <w:basedOn w:val="TableNorma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uiPriority w:val="99"/>
    <w:basedOn w:val="Normal"/>
    <w:link w:val="BalloonTextChar"/>
    <w:semiHidden/>
    <w:unhideWhenUsed/>
    <w:rPr>
      <w:sz w:val="18"/>
      <w:szCs w:val="18"/>
    </w:rPr>
  </w:style>
  <w:style w:type="character" w:customStyle="1" w:styleId="BalloonTextChar">
    <w:name w:val="Balloon Text Char"/>
    <w:uiPriority w:val="99"/>
    <w:basedOn w:val="DefaultParagraphFont"/>
    <w:link w:val="BalloonText"/>
    <w:semiHidden/>
    <w:rPr>
      <w:rFonts w:ascii="Times New Roman" w:hAnsi="Times New Roman" w:cs="Times New Roman"/>
      <w:sz w:val="18"/>
      <w:szCs w:val="18"/>
    </w:rPr>
  </w:style>
  <w:style w:type="paragraph" w:customStyle="1" w:styleId="Revision">
    <w:name w:val="Revision"/>
    <w:uiPriority w:val="99"/>
    <w:hidden/>
    <w:semiHidden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ITF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Saunders</dc:creator>
  <cp:keywords/>
  <dc:description/>
  <cp:lastModifiedBy>user</cp:lastModifiedBy>
  <cp:revision>1</cp:revision>
  <dcterms:created xsi:type="dcterms:W3CDTF">2023-09-21T10:52:00Z</dcterms:created>
  <dcterms:modified xsi:type="dcterms:W3CDTF">2023-10-06T06:54:26Z</dcterms:modified>
  <cp:lastPrinted>2021-09-02T07:14:00Z</cp:lastPrinted>
  <cp:version>1200.0100.01</cp:version>
</cp:coreProperties>
</file>