
<file path=[Content_Types].xml><?xml version="1.0" encoding="utf-8"?>
<Types xmlns="http://schemas.openxmlformats.org/package/2006/content-types"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Default Extension="bmp" ContentType="image/bmp"/>
  <Default Extension="rels" ContentType="application/vnd.openxmlformats-package.relationships+xml"/>
  <Default Extension="xml" ContentType="application/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tbl>
      <w:tblPr>
        <w:tblOverlap w:val="never"/>
        <w:tblW w:w="8447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893"/>
        <w:gridCol w:w="2554"/>
      </w:tblGrid>
      <w:tr>
        <w:trPr>
          <w:trHeight w:val="1162"/>
        </w:trPr>
        <w:tc>
          <w:tcPr>
            <w:tcW w:w="5893" w:type="dxa"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drawing>
                <wp:anchor distT="0" distB="0" distL="0" distR="0" simplePos="0" relativeHeight="3" behindDoc="0" locked="0" layoutInCell="1" allowOverlap="1">
                  <wp:simplePos x="0" y="0"/>
                  <wp:positionH relativeFrom="column">
                    <wp:posOffset>147828</wp:posOffset>
                  </wp:positionH>
                  <wp:positionV relativeFrom="paragraph">
                    <wp:posOffset>24511</wp:posOffset>
                  </wp:positionV>
                  <wp:extent cx="3316097" cy="591058"/>
                  <wp:effectExtent l="0" t="0" r="0" b="0"/>
                  <wp:wrapNone/>
                  <wp:docPr id="2" name="그림 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관리자\AppData\Local\Temp\Hnc\BinData\EMB00000ce8052c.bmp"/>
                          <pic:cNvPicPr/>
                        </pic:nvPicPr>
                        <pic:blipFill>
                          <a:blip r:embed="rId1"/>
                          <a:srcRect r="267" b="7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6097" cy="591058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</w:tc>
        <w:tc>
          <w:tcPr>
            <w:tcW w:w="2554" w:type="dxa"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right"/>
            </w:pPr>
            <w:r>
              <w:rPr>
                <w:rFonts w:eastAsia="양재튼튼체B"/>
                <w:b/>
                <w:sz w:val="40"/>
                <w:shd w:val="clear" w:color="000000"/>
              </w:rPr>
              <w:t>보도자료</w:t>
            </w:r>
          </w:p>
          <w:p>
            <w:pPr>
              <w:pStyle w:val="0"/>
              <w:widowControl w:val="off"/>
              <w:wordWrap w:val="1"/>
              <w:jc w:val="right"/>
            </w:pPr>
            <w:r>
              <w:rPr>
                <w:rFonts w:ascii="양재튼튼체B" w:eastAsia="양재튼튼체B"/>
                <w:b/>
                <w:sz w:val="24"/>
                <w:shd w:val="clear" w:color="000000"/>
              </w:rPr>
              <w:t>2014년 8월 6일</w:t>
            </w:r>
          </w:p>
        </w:tc>
      </w:tr>
      <w:tr>
        <w:trPr>
          <w:trHeight w:val="200"/>
        </w:trPr>
        <w:tc>
          <w:tcPr>
            <w:tcW w:w="8447" w:type="dxa"/>
            <w:gridSpan w:val="2"/>
            <w:tcBorders>
              <w:top w:val="none" w:color="000000" w:sz="3"/>
              <w:left w:val="none" w:color="000000" w:sz="3"/>
              <w:bottom w:val="single" w:color="000000" w:sz="9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</w:tr>
      <w:tr>
        <w:trPr>
          <w:trHeight w:val="1271"/>
        </w:trPr>
        <w:tc>
          <w:tcPr>
            <w:tcW w:w="8447" w:type="dxa"/>
            <w:gridSpan w:val="2"/>
            <w:tcBorders>
              <w:top w:val="single" w:color="000000" w:sz="9"/>
              <w:left w:val="single" w:color="000000" w:sz="9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before="160" w:line="312"/>
              <w:jc w:val="center"/>
            </w:pPr>
            <w:r>
              <w:rPr>
                <w:rFonts w:ascii="HY헤드라인M" w:eastAsia="HY헤드라인M"/>
                <w:b/>
                <w:sz w:val="40"/>
                <w:shd w:val="clear" w:color="000000"/>
              </w:rPr>
              <w:t>유럽/미주항로 컨테이너운임 크게 상승</w:t>
            </w:r>
          </w:p>
          <w:p>
            <w:pPr>
              <w:pStyle w:val="0"/>
              <w:widowControl w:val="off"/>
              <w:wordWrap w:val="1"/>
              <w:spacing w:before="160" w:line="312"/>
              <w:jc w:val="center"/>
            </w:pPr>
            <w:r>
              <w:rPr>
                <w:rFonts w:ascii="HY헤드라인M" w:eastAsia="HY헤드라인M"/>
                <w:spacing w:val="-10"/>
                <w:sz w:val="32"/>
                <w:shd w:val="clear" w:color="000000"/>
              </w:rPr>
              <w:t>글로벌 정기선사들의 운임인상노력 시장에 반영</w:t>
            </w: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spacing w:line="360" w:lineRule="auto"/>
      </w:pPr>
    </w:p>
    <w:p>
      <w:pPr>
        <w:pStyle w:val="0"/>
        <w:widowControl w:val="off"/>
        <w:spacing w:line="360" w:lineRule="auto"/>
      </w:pPr>
      <w:r>
        <w:rPr>
          <w:rFonts w:ascii="맑은 고딕" w:eastAsia="맑은 고딕"/>
          <w:sz w:val="26"/>
          <w:shd w:val="clear" w:color="000000"/>
        </w:rPr>
        <w:t>글로벌 컨테이너 정기선사들의 운임회복을 위한 노력이 시장에 반영되면서 유럽과 미주항로의 컨테이너운임이 크게 상승한 것으로 나타났다.</w:t>
      </w:r>
    </w:p>
    <w:p>
      <w:pPr>
        <w:pStyle w:val="0"/>
        <w:widowControl w:val="off"/>
        <w:spacing w:line="360" w:lineRule="auto"/>
      </w:pPr>
    </w:p>
    <w:p>
      <w:pPr>
        <w:pStyle w:val="0"/>
        <w:widowControl w:val="off"/>
        <w:spacing w:line="360" w:lineRule="auto"/>
      </w:pPr>
      <w:r>
        <w:rPr>
          <w:rFonts w:ascii="맑은 고딕" w:eastAsia="맑은 고딕"/>
          <w:sz w:val="26"/>
          <w:shd w:val="clear" w:color="000000"/>
        </w:rPr>
        <w:t xml:space="preserve">한국선주협회가 입수 분석한 상해해운거래소의 8월 1일자 각 항로별 스팟 컨테이너운임현황에 따르면, 유럽행은 전주대비 TEU당 252달러(20.9%) 상승하면서 1,455달러로 단숨에 1,400달러대를 회복했다. </w:t>
      </w:r>
    </w:p>
    <w:p>
      <w:pPr>
        <w:pStyle w:val="0"/>
        <w:widowControl w:val="off"/>
        <w:spacing w:line="360" w:lineRule="auto"/>
      </w:pPr>
    </w:p>
    <w:p>
      <w:pPr>
        <w:pStyle w:val="0"/>
        <w:widowControl w:val="off"/>
        <w:spacing w:line="360" w:lineRule="auto"/>
      </w:pPr>
      <w:r>
        <w:rPr>
          <w:rFonts w:ascii="맑은 고딕" w:eastAsia="맑은 고딕"/>
          <w:sz w:val="26"/>
          <w:shd w:val="clear" w:color="000000"/>
        </w:rPr>
        <w:t xml:space="preserve">유럽행 컨테이너화물의 운임은 2013년 평균 1,090달러에서 금년 3월 983달러로 하락한 이후 1,100달러 수준에서 정체됐으나, 8월 들어 큰 폭으로 상승한 것으로 나타났다. 지중해지역으로 들어가는 컨테이너운임도 TEU당 1,459달러에서 1,608달러로 10.2% 상승했다. </w:t>
      </w:r>
    </w:p>
    <w:p>
      <w:pPr>
        <w:pStyle w:val="0"/>
        <w:widowControl w:val="off"/>
        <w:spacing w:line="360" w:lineRule="auto"/>
      </w:pPr>
    </w:p>
    <w:p>
      <w:pPr>
        <w:pStyle w:val="0"/>
        <w:widowControl w:val="off"/>
        <w:spacing w:line="360" w:lineRule="auto"/>
      </w:pPr>
      <w:r>
        <w:rPr>
          <w:rFonts w:ascii="맑은 고딕" w:eastAsia="맑은 고딕"/>
          <w:sz w:val="26"/>
          <w:shd w:val="clear" w:color="000000"/>
        </w:rPr>
        <w:t>미주항로 운임도 크게 올랐다. 미주 서안행은 전주대비 FEU당  1,765달러에서 2,198달러로 24.5% 상승했다. 미주 동안행도 609달러(17%) 급등하면서 4,187달러로 치솟았다.</w:t>
      </w:r>
    </w:p>
    <w:p>
      <w:pPr>
        <w:pStyle w:val="0"/>
        <w:widowControl w:val="off"/>
        <w:spacing w:line="360" w:lineRule="auto"/>
      </w:pPr>
    </w:p>
    <w:p>
      <w:pPr>
        <w:pStyle w:val="0"/>
        <w:widowControl w:val="off"/>
        <w:spacing w:line="360" w:lineRule="auto"/>
      </w:pPr>
      <w:r>
        <w:rPr>
          <w:rFonts w:ascii="맑은 고딕" w:eastAsia="맑은 고딕"/>
          <w:sz w:val="26"/>
          <w:shd w:val="clear" w:color="000000"/>
        </w:rPr>
        <w:t xml:space="preserve">이에 따라 이들 항로에 컨테이너선을 운항중인 한진해운과 현대상선의 수익도 개선될 것으로 예상되고 있다. </w:t>
      </w:r>
    </w:p>
    <w:p>
      <w:pPr>
        <w:pStyle w:val="0"/>
        <w:widowControl w:val="off"/>
        <w:wordWrap w:val="1"/>
        <w:spacing w:line="360" w:lineRule="auto"/>
        <w:jc w:val="center"/>
      </w:pPr>
    </w:p>
    <w:p>
      <w:pPr>
        <w:pStyle w:val="0"/>
        <w:widowControl w:val="off"/>
        <w:wordWrap w:val="1"/>
        <w:spacing w:line="360" w:lineRule="auto"/>
        <w:jc w:val="center"/>
      </w:pPr>
      <w:r>
        <w:rPr>
          <w:rFonts w:ascii="맑은 고딕"/>
          <w:b/>
          <w:sz w:val="26"/>
          <w:shd w:val="clear" w:color="000000"/>
        </w:rPr>
        <w:t>《</w:t>
      </w:r>
      <w:r>
        <w:rPr>
          <w:rFonts w:ascii="맑은 고딕" w:eastAsia="맑은 고딕"/>
          <w:b/>
          <w:sz w:val="26"/>
          <w:shd w:val="clear" w:color="000000"/>
        </w:rPr>
        <w:t xml:space="preserve"> 유럽/미주 컨테이너항로 운임추이 </w:t>
      </w:r>
      <w:r>
        <w:rPr>
          <w:rFonts w:ascii="맑은 고딕"/>
          <w:b/>
          <w:sz w:val="26"/>
          <w:shd w:val="clear" w:color="000000"/>
        </w:rPr>
        <w:t>》</w:t>
      </w:r>
    </w:p>
    <w:tbl>
      <w:tblPr>
        <w:tblOverlap w:val="never"/>
        <w:tblW w:w="7917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670"/>
        <w:gridCol w:w="1199"/>
        <w:gridCol w:w="1368"/>
        <w:gridCol w:w="1368"/>
        <w:gridCol w:w="1312"/>
      </w:tblGrid>
      <w:tr>
        <w:trPr>
          <w:trHeight w:val="397"/>
        </w:trPr>
        <w:tc>
          <w:tcPr>
            <w:tcW w:w="2670" w:type="dxa"/>
            <w:tcBorders>
              <w:top w:val="single" w:color="000000" w:sz="9"/>
              <w:left w:val="single" w:color="000000" w:sz="9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/>
              </w:rPr>
              <w:t>항 목</w:t>
            </w:r>
          </w:p>
        </w:tc>
        <w:tc>
          <w:tcPr>
            <w:tcW w:w="1199" w:type="dxa"/>
            <w:tcBorders>
              <w:top w:val="single" w:color="000000" w:sz="9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4"/>
                <w:shd w:val="clear" w:color="000000"/>
              </w:rPr>
              <w:t>단위</w:t>
            </w:r>
          </w:p>
        </w:tc>
        <w:tc>
          <w:tcPr>
            <w:tcW w:w="1368" w:type="dxa"/>
            <w:tcBorders>
              <w:top w:val="single" w:color="000000" w:sz="9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b/>
                <w:spacing w:val="-6"/>
                <w:shd w:val="clear" w:color="000000"/>
              </w:rPr>
              <w:t>2014-07-25</w:t>
            </w:r>
          </w:p>
        </w:tc>
        <w:tc>
          <w:tcPr>
            <w:tcW w:w="1368" w:type="dxa"/>
            <w:tcBorders>
              <w:top w:val="single" w:color="000000" w:sz="9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b/>
                <w:spacing w:val="-7"/>
                <w:shd w:val="clear" w:color="000000"/>
              </w:rPr>
              <w:t>2014-08-01</w:t>
            </w:r>
          </w:p>
        </w:tc>
        <w:tc>
          <w:tcPr>
            <w:tcW w:w="1312" w:type="dxa"/>
            <w:tcBorders>
              <w:top w:val="single" w:color="000000" w:sz="9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4"/>
                <w:shd w:val="clear" w:color="000000"/>
              </w:rPr>
              <w:t>증감률</w:t>
            </w:r>
          </w:p>
        </w:tc>
      </w:tr>
      <w:tr>
        <w:trPr>
          <w:trHeight w:val="296"/>
        </w:trPr>
        <w:tc>
          <w:tcPr>
            <w:tcW w:w="2670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200"/>
              <w:jc w:val="left"/>
            </w:pPr>
            <w:r>
              <w:rPr>
                <w:rFonts w:ascii="맑은 고딕" w:eastAsia="맑은 고딕"/>
                <w:sz w:val="24"/>
                <w:shd w:val="clear" w:color="000000"/>
              </w:rPr>
              <w:t>유  럽  (항만기준)</w:t>
            </w:r>
          </w:p>
        </w:tc>
        <w:tc>
          <w:tcPr>
            <w:tcW w:w="1199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sz w:val="24"/>
                <w:shd w:val="clear" w:color="000000"/>
              </w:rPr>
              <w:t>TEU</w:t>
            </w:r>
          </w:p>
        </w:tc>
        <w:tc>
          <w:tcPr>
            <w:tcW w:w="1368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right"/>
            </w:pPr>
            <w:r>
              <w:rPr>
                <w:rFonts w:ascii="맑은 고딕"/>
                <w:sz w:val="24"/>
                <w:shd w:val="clear" w:color="000000"/>
              </w:rPr>
              <w:t>1,203$</w:t>
            </w:r>
          </w:p>
        </w:tc>
        <w:tc>
          <w:tcPr>
            <w:tcW w:w="1368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right"/>
            </w:pPr>
            <w:r>
              <w:rPr>
                <w:rFonts w:ascii="맑은 고딕"/>
                <w:sz w:val="24"/>
                <w:shd w:val="clear" w:color="000000"/>
              </w:rPr>
              <w:t>1,455$</w:t>
            </w:r>
          </w:p>
        </w:tc>
        <w:tc>
          <w:tcPr>
            <w:tcW w:w="1312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right"/>
            </w:pPr>
            <w:r>
              <w:rPr>
                <w:rFonts w:ascii="맑은 고딕"/>
                <w:sz w:val="24"/>
                <w:shd w:val="clear" w:color="000000"/>
              </w:rPr>
              <w:t>20.9%</w:t>
            </w:r>
          </w:p>
        </w:tc>
      </w:tr>
      <w:tr>
        <w:trPr>
          <w:trHeight w:val="296"/>
        </w:trPr>
        <w:tc>
          <w:tcPr>
            <w:tcW w:w="2670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200"/>
              <w:jc w:val="left"/>
            </w:pPr>
            <w:r>
              <w:rPr>
                <w:rFonts w:ascii="맑은 고딕" w:eastAsia="맑은 고딕"/>
                <w:sz w:val="24"/>
                <w:shd w:val="clear" w:color="000000"/>
              </w:rPr>
              <w:t xml:space="preserve">지중해  (   </w:t>
            </w:r>
            <w:r>
              <w:rPr>
                <w:rFonts w:ascii="맑은 고딕"/>
                <w:sz w:val="24"/>
                <w:shd w:val="clear" w:color="000000"/>
              </w:rPr>
              <w:t>〃</w:t>
            </w:r>
            <w:r>
              <w:rPr>
                <w:rFonts w:ascii="맑은 고딕"/>
                <w:sz w:val="24"/>
                <w:shd w:val="clear" w:color="000000"/>
              </w:rPr>
              <w:t xml:space="preserve">   )</w:t>
            </w:r>
          </w:p>
        </w:tc>
        <w:tc>
          <w:tcPr>
            <w:tcW w:w="1199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sz w:val="24"/>
                <w:shd w:val="clear" w:color="000000"/>
              </w:rPr>
              <w:t>TEU</w:t>
            </w:r>
          </w:p>
        </w:tc>
        <w:tc>
          <w:tcPr>
            <w:tcW w:w="136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right"/>
            </w:pPr>
            <w:r>
              <w:rPr>
                <w:rFonts w:ascii="맑은 고딕"/>
                <w:sz w:val="24"/>
                <w:shd w:val="clear" w:color="000000"/>
              </w:rPr>
              <w:t>1,459$</w:t>
            </w:r>
          </w:p>
        </w:tc>
        <w:tc>
          <w:tcPr>
            <w:tcW w:w="136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right"/>
            </w:pPr>
            <w:r>
              <w:rPr>
                <w:rFonts w:ascii="맑은 고딕"/>
                <w:sz w:val="24"/>
                <w:shd w:val="clear" w:color="000000"/>
              </w:rPr>
              <w:t>1,608$</w:t>
            </w:r>
          </w:p>
        </w:tc>
        <w:tc>
          <w:tcPr>
            <w:tcW w:w="13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right"/>
            </w:pPr>
            <w:r>
              <w:rPr>
                <w:rFonts w:ascii="맑은 고딕"/>
                <w:sz w:val="24"/>
                <w:shd w:val="clear" w:color="000000"/>
              </w:rPr>
              <w:t>10.2%</w:t>
            </w:r>
          </w:p>
        </w:tc>
      </w:tr>
      <w:tr>
        <w:trPr>
          <w:trHeight w:val="296"/>
        </w:trPr>
        <w:tc>
          <w:tcPr>
            <w:tcW w:w="2670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200"/>
              <w:jc w:val="left"/>
            </w:pPr>
            <w:r>
              <w:rPr>
                <w:rFonts w:ascii="맑은 고딕" w:eastAsia="맑은 고딕"/>
                <w:sz w:val="24"/>
                <w:shd w:val="clear" w:color="000000"/>
              </w:rPr>
              <w:t xml:space="preserve">미주서안(   </w:t>
            </w:r>
            <w:r>
              <w:rPr>
                <w:rFonts w:ascii="맑은 고딕"/>
                <w:sz w:val="24"/>
                <w:shd w:val="clear" w:color="000000"/>
              </w:rPr>
              <w:t>〃</w:t>
            </w:r>
            <w:r>
              <w:rPr>
                <w:rFonts w:ascii="맑은 고딕"/>
                <w:sz w:val="24"/>
                <w:shd w:val="clear" w:color="000000"/>
              </w:rPr>
              <w:t xml:space="preserve">   )</w:t>
            </w:r>
          </w:p>
        </w:tc>
        <w:tc>
          <w:tcPr>
            <w:tcW w:w="1199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sz w:val="24"/>
                <w:shd w:val="clear" w:color="000000"/>
              </w:rPr>
              <w:t>FEU</w:t>
            </w:r>
          </w:p>
        </w:tc>
        <w:tc>
          <w:tcPr>
            <w:tcW w:w="136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right"/>
            </w:pPr>
            <w:r>
              <w:rPr>
                <w:rFonts w:ascii="맑은 고딕"/>
                <w:sz w:val="24"/>
                <w:shd w:val="clear" w:color="000000"/>
              </w:rPr>
              <w:t>1,765$</w:t>
            </w:r>
          </w:p>
        </w:tc>
        <w:tc>
          <w:tcPr>
            <w:tcW w:w="136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right"/>
            </w:pPr>
            <w:r>
              <w:rPr>
                <w:rFonts w:ascii="맑은 고딕"/>
                <w:sz w:val="24"/>
                <w:shd w:val="clear" w:color="000000"/>
              </w:rPr>
              <w:t>2,198$</w:t>
            </w:r>
          </w:p>
        </w:tc>
        <w:tc>
          <w:tcPr>
            <w:tcW w:w="13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right"/>
            </w:pPr>
            <w:r>
              <w:rPr>
                <w:rFonts w:ascii="맑은 고딕"/>
                <w:sz w:val="24"/>
                <w:shd w:val="clear" w:color="000000"/>
              </w:rPr>
              <w:t>24.5%</w:t>
            </w:r>
          </w:p>
        </w:tc>
      </w:tr>
      <w:tr>
        <w:trPr>
          <w:trHeight w:val="296"/>
        </w:trPr>
        <w:tc>
          <w:tcPr>
            <w:tcW w:w="2670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200"/>
              <w:jc w:val="left"/>
            </w:pPr>
            <w:r>
              <w:rPr>
                <w:rFonts w:ascii="맑은 고딕" w:eastAsia="맑은 고딕"/>
                <w:sz w:val="24"/>
                <w:shd w:val="clear" w:color="000000"/>
              </w:rPr>
              <w:t xml:space="preserve">미주동안(   </w:t>
            </w:r>
            <w:r>
              <w:rPr>
                <w:rFonts w:ascii="맑은 고딕"/>
                <w:sz w:val="24"/>
                <w:shd w:val="clear" w:color="000000"/>
              </w:rPr>
              <w:t>〃</w:t>
            </w:r>
            <w:r>
              <w:rPr>
                <w:rFonts w:ascii="맑은 고딕"/>
                <w:sz w:val="24"/>
                <w:shd w:val="clear" w:color="000000"/>
              </w:rPr>
              <w:t xml:space="preserve">   )</w:t>
            </w:r>
          </w:p>
        </w:tc>
        <w:tc>
          <w:tcPr>
            <w:tcW w:w="1199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sz w:val="24"/>
                <w:shd w:val="clear" w:color="000000"/>
              </w:rPr>
              <w:t>FEU</w:t>
            </w:r>
          </w:p>
        </w:tc>
        <w:tc>
          <w:tcPr>
            <w:tcW w:w="136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right"/>
            </w:pPr>
            <w:r>
              <w:rPr>
                <w:rFonts w:ascii="맑은 고딕"/>
                <w:sz w:val="24"/>
                <w:shd w:val="clear" w:color="000000"/>
              </w:rPr>
              <w:t>3,578$</w:t>
            </w:r>
          </w:p>
        </w:tc>
        <w:tc>
          <w:tcPr>
            <w:tcW w:w="136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right"/>
            </w:pPr>
            <w:r>
              <w:rPr>
                <w:rFonts w:ascii="맑은 고딕"/>
                <w:sz w:val="24"/>
                <w:shd w:val="clear" w:color="000000"/>
              </w:rPr>
              <w:t>4,187$</w:t>
            </w:r>
          </w:p>
        </w:tc>
        <w:tc>
          <w:tcPr>
            <w:tcW w:w="1312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right"/>
            </w:pPr>
            <w:r>
              <w:rPr>
                <w:rFonts w:ascii="맑은 고딕"/>
                <w:sz w:val="24"/>
                <w:shd w:val="clear" w:color="000000"/>
              </w:rPr>
              <w:t>17.0%</w:t>
            </w:r>
          </w:p>
        </w:tc>
      </w:tr>
    </w:tbl>
    <w:p>
      <w:pPr>
        <w:pStyle w:val="0"/>
        <w:widowControl w:val="off"/>
        <w:wordWrap w:val="1"/>
        <w:spacing w:line="360" w:lineRule="auto"/>
        <w:jc w:val="center"/>
      </w:pPr>
    </w:p>
    <w:p>
      <w:pPr>
        <w:pStyle w:val="0"/>
        <w:widowControl w:val="off"/>
      </w:pPr>
      <w:r>
        <w:rPr>
          <w:rFonts w:ascii="맑은 고딕" w:eastAsia="맑은 고딕"/>
          <w:sz w:val="26"/>
        </w:rPr>
        <w:t xml:space="preserve">  (자료) 중국 상해해운거래소</w:t>
      </w: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984" w:right="1701" w:bottom="1701" w:left="1701" w:header="1134" w:footer="850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9">
    <w:name w:val="쪽 번호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20"/>
      <w:shd w:val="clear" w:color="000000"/>
    </w:rPr>
  </w:style>
  <w:style w:type="paragraph" w:styleId="10">
    <w:name w:val="머리말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18"/>
      <w:shd w:val="clear" w:color="000000"/>
    </w:rPr>
  </w:style>
  <w:style w:type="paragraph" w:styleId="11">
    <w:name w:val="각주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2">
    <w:name w:val="미주"/>
    <w:uiPriority w:val="1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3">
    <w:name w:val="메모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image" Target="media/image1.bmp"  /><Relationship Id="rId2" Type="http://schemas.openxmlformats.org/officeDocument/2006/relationships/settings" Target="settings.xml"  /><Relationship Id="rId3" Type="http://schemas.openxmlformats.org/officeDocument/2006/relationships/styles" Target="styles.xml"  /><Relationship Id="rId4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 2010</ep:Application>
  <ep:AppVersion>8.5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글로벌 선사들이 8월중 시도한 기간항로의 컨테이너 운임인상 계획이 일정정도 성공했다</dc:title>
  <dc:creator>pc</dc:creator>
  <cp:lastModifiedBy>관리자</cp:lastModifiedBy>
  <dcterms:created xsi:type="dcterms:W3CDTF">2014-08-05T00:28:46.538</dcterms:created>
  <dcterms:modified xsi:type="dcterms:W3CDTF">2014-08-06T02:11:51.782</dcterms:modified>
</cp:coreProperties>
</file>